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3456"/>
        <w:gridCol w:w="5054"/>
      </w:tblGrid>
      <w:tr w:rsidR="000D0641">
        <w:tc>
          <w:tcPr>
            <w:tcW w:w="3456" w:type="dxa"/>
            <w:tcBorders>
              <w:bottom w:val="single" w:sz="18" w:space="0" w:color="auto"/>
            </w:tcBorders>
          </w:tcPr>
          <w:p w:rsidR="000D0641" w:rsidRPr="00B805DB" w:rsidRDefault="000D0641" w:rsidP="00A53B04">
            <w:pPr>
              <w:pStyle w:val="Infotext"/>
              <w:rPr>
                <w:rFonts w:ascii="Arial Black" w:hAnsi="Arial Black" w:cs="Arial Black"/>
                <w:color w:val="999999"/>
                <w:sz w:val="36"/>
                <w:szCs w:val="36"/>
              </w:rPr>
            </w:pPr>
            <w:r w:rsidRPr="00B805DB">
              <w:rPr>
                <w:rFonts w:ascii="Arial Black" w:hAnsi="Arial Black" w:cs="Arial Black"/>
                <w:color w:val="999999"/>
                <w:sz w:val="36"/>
                <w:szCs w:val="36"/>
              </w:rPr>
              <w:t>REPORT FOR:</w:t>
            </w:r>
          </w:p>
          <w:p w:rsidR="000D0641" w:rsidRPr="00B805DB" w:rsidRDefault="000D0641" w:rsidP="00A53B04">
            <w:pPr>
              <w:pStyle w:val="Infotext"/>
              <w:rPr>
                <w:rFonts w:ascii="Arial Black" w:hAnsi="Arial Black" w:cs="Arial Black"/>
                <w:sz w:val="36"/>
                <w:szCs w:val="36"/>
              </w:rPr>
            </w:pPr>
          </w:p>
        </w:tc>
        <w:tc>
          <w:tcPr>
            <w:tcW w:w="5054" w:type="dxa"/>
            <w:tcBorders>
              <w:bottom w:val="single" w:sz="18" w:space="0" w:color="auto"/>
            </w:tcBorders>
          </w:tcPr>
          <w:p w:rsidR="000D0641" w:rsidRPr="005E3A10" w:rsidRDefault="000D0641" w:rsidP="00A53B04">
            <w:pPr>
              <w:rPr>
                <w:rFonts w:ascii="Arial Black" w:hAnsi="Arial Black" w:cs="Arial Black"/>
                <w:sz w:val="36"/>
                <w:szCs w:val="36"/>
              </w:rPr>
            </w:pPr>
            <w:r w:rsidRPr="005E3A10">
              <w:rPr>
                <w:rFonts w:ascii="Arial Black" w:hAnsi="Arial Black" w:cs="Arial Black"/>
                <w:sz w:val="36"/>
                <w:szCs w:val="36"/>
              </w:rPr>
              <w:t>CABINET</w:t>
            </w:r>
          </w:p>
          <w:p w:rsidR="000D0641" w:rsidRPr="005E3A10" w:rsidRDefault="000D0641" w:rsidP="00A53B04">
            <w:pPr>
              <w:rPr>
                <w:rFonts w:ascii="Arial Black" w:hAnsi="Arial Black" w:cs="Arial Black"/>
              </w:rPr>
            </w:pPr>
          </w:p>
        </w:tc>
      </w:tr>
      <w:tr w:rsidR="000D0641">
        <w:tc>
          <w:tcPr>
            <w:tcW w:w="3456" w:type="dxa"/>
            <w:tcBorders>
              <w:top w:val="single" w:sz="18" w:space="0" w:color="auto"/>
            </w:tcBorders>
          </w:tcPr>
          <w:p w:rsidR="000D0641" w:rsidRPr="00C13A5F" w:rsidRDefault="000D0641" w:rsidP="00A53B04">
            <w:pPr>
              <w:pStyle w:val="Infotext"/>
              <w:rPr>
                <w:rFonts w:ascii="Arial Black" w:hAnsi="Arial Black" w:cs="Arial Black"/>
              </w:rPr>
            </w:pPr>
            <w:r w:rsidRPr="00C13A5F">
              <w:rPr>
                <w:rFonts w:ascii="Arial Black" w:hAnsi="Arial Black" w:cs="Arial Black"/>
              </w:rPr>
              <w:t>Date</w:t>
            </w:r>
            <w:r>
              <w:rPr>
                <w:rFonts w:ascii="Arial Black" w:hAnsi="Arial Black" w:cs="Arial Black"/>
              </w:rPr>
              <w:t xml:space="preserve"> of Meeting</w:t>
            </w:r>
            <w:r w:rsidRPr="00C13A5F">
              <w:rPr>
                <w:rFonts w:ascii="Arial Black" w:hAnsi="Arial Black" w:cs="Arial Black"/>
              </w:rPr>
              <w:t>:</w:t>
            </w:r>
          </w:p>
          <w:p w:rsidR="000D0641" w:rsidRPr="00C13A5F" w:rsidRDefault="000D0641" w:rsidP="00A53B04">
            <w:pPr>
              <w:pStyle w:val="Infotext"/>
              <w:rPr>
                <w:rFonts w:ascii="Arial Black" w:hAnsi="Arial Black" w:cs="Arial Black"/>
              </w:rPr>
            </w:pPr>
          </w:p>
        </w:tc>
        <w:tc>
          <w:tcPr>
            <w:tcW w:w="5054" w:type="dxa"/>
            <w:tcBorders>
              <w:top w:val="single" w:sz="18" w:space="0" w:color="auto"/>
            </w:tcBorders>
          </w:tcPr>
          <w:p w:rsidR="000D0641" w:rsidRPr="000A477E" w:rsidRDefault="000D0641" w:rsidP="000A477E">
            <w:pPr>
              <w:pStyle w:val="Infotext"/>
              <w:rPr>
                <w:sz w:val="24"/>
                <w:szCs w:val="24"/>
              </w:rPr>
            </w:pPr>
            <w:r w:rsidRPr="000A477E">
              <w:rPr>
                <w:sz w:val="24"/>
                <w:szCs w:val="24"/>
              </w:rPr>
              <w:t>17 June 2015</w:t>
            </w:r>
          </w:p>
        </w:tc>
      </w:tr>
      <w:tr w:rsidR="000D0641">
        <w:tc>
          <w:tcPr>
            <w:tcW w:w="3456" w:type="dxa"/>
          </w:tcPr>
          <w:p w:rsidR="000D0641" w:rsidRPr="00C13A5F" w:rsidRDefault="000D0641" w:rsidP="00A53B04">
            <w:pPr>
              <w:pStyle w:val="Infotext"/>
              <w:rPr>
                <w:rFonts w:ascii="Arial Black" w:hAnsi="Arial Black" w:cs="Arial Black"/>
              </w:rPr>
            </w:pPr>
            <w:r w:rsidRPr="00C13A5F">
              <w:rPr>
                <w:rFonts w:ascii="Arial Black" w:hAnsi="Arial Black" w:cs="Arial Black"/>
              </w:rPr>
              <w:t>Subject:</w:t>
            </w:r>
          </w:p>
          <w:p w:rsidR="000D0641" w:rsidRPr="00C13A5F" w:rsidRDefault="000D0641" w:rsidP="00A53B04">
            <w:pPr>
              <w:pStyle w:val="Infotext"/>
              <w:rPr>
                <w:rFonts w:ascii="Arial Black" w:hAnsi="Arial Black" w:cs="Arial Black"/>
              </w:rPr>
            </w:pPr>
          </w:p>
        </w:tc>
        <w:tc>
          <w:tcPr>
            <w:tcW w:w="5054" w:type="dxa"/>
          </w:tcPr>
          <w:p w:rsidR="000D0641" w:rsidRPr="005E3A10" w:rsidRDefault="000D0641" w:rsidP="00A53B04">
            <w:r>
              <w:t>Commercialisation Strategy</w:t>
            </w:r>
          </w:p>
        </w:tc>
      </w:tr>
      <w:tr w:rsidR="000D0641">
        <w:tc>
          <w:tcPr>
            <w:tcW w:w="3456" w:type="dxa"/>
          </w:tcPr>
          <w:p w:rsidR="000D0641" w:rsidRPr="00C13A5F" w:rsidRDefault="000D0641" w:rsidP="00A53B04">
            <w:pPr>
              <w:pStyle w:val="Infotext"/>
              <w:rPr>
                <w:rFonts w:ascii="Arial Black" w:hAnsi="Arial Black" w:cs="Arial Black"/>
              </w:rPr>
            </w:pPr>
            <w:r w:rsidRPr="00C13A5F">
              <w:rPr>
                <w:rFonts w:ascii="Arial Black" w:hAnsi="Arial Black" w:cs="Arial Black"/>
              </w:rPr>
              <w:t xml:space="preserve">Key Decision: </w:t>
            </w:r>
          </w:p>
          <w:p w:rsidR="000D0641" w:rsidRPr="00C13A5F" w:rsidRDefault="000D0641" w:rsidP="00A53B04">
            <w:pPr>
              <w:pStyle w:val="Infotext"/>
              <w:rPr>
                <w:rFonts w:ascii="Arial Black" w:hAnsi="Arial Black" w:cs="Arial Black"/>
              </w:rPr>
            </w:pPr>
          </w:p>
        </w:tc>
        <w:tc>
          <w:tcPr>
            <w:tcW w:w="5054" w:type="dxa"/>
          </w:tcPr>
          <w:p w:rsidR="000D0641" w:rsidRPr="005E3A10" w:rsidRDefault="000D0641" w:rsidP="001C7E35">
            <w:pPr>
              <w:pStyle w:val="Infotext"/>
              <w:rPr>
                <w:sz w:val="24"/>
                <w:szCs w:val="24"/>
              </w:rPr>
            </w:pPr>
            <w:r w:rsidRPr="005E3A10">
              <w:rPr>
                <w:sz w:val="24"/>
                <w:szCs w:val="24"/>
              </w:rPr>
              <w:t xml:space="preserve">Yes </w:t>
            </w:r>
          </w:p>
          <w:p w:rsidR="000D0641" w:rsidRPr="005E3A10" w:rsidRDefault="000D0641" w:rsidP="000E11D8">
            <w:pPr>
              <w:pStyle w:val="Infotext"/>
            </w:pPr>
          </w:p>
        </w:tc>
      </w:tr>
      <w:tr w:rsidR="000D0641">
        <w:tc>
          <w:tcPr>
            <w:tcW w:w="3456" w:type="dxa"/>
          </w:tcPr>
          <w:p w:rsidR="000D0641" w:rsidRPr="00C13A5F" w:rsidRDefault="000D0641" w:rsidP="00A53B04">
            <w:pPr>
              <w:pStyle w:val="Infotext"/>
              <w:rPr>
                <w:rFonts w:ascii="Arial Black" w:hAnsi="Arial Black" w:cs="Arial Black"/>
              </w:rPr>
            </w:pPr>
            <w:r w:rsidRPr="00C13A5F">
              <w:rPr>
                <w:rFonts w:ascii="Arial Black" w:hAnsi="Arial Black" w:cs="Arial Black"/>
              </w:rPr>
              <w:t>Responsible Officer:</w:t>
            </w:r>
          </w:p>
          <w:p w:rsidR="000D0641" w:rsidRPr="00C13A5F" w:rsidRDefault="000D0641" w:rsidP="00A53B04">
            <w:pPr>
              <w:pStyle w:val="Infotext"/>
              <w:rPr>
                <w:rFonts w:ascii="Arial Black" w:hAnsi="Arial Black" w:cs="Arial Black"/>
              </w:rPr>
            </w:pPr>
          </w:p>
        </w:tc>
        <w:tc>
          <w:tcPr>
            <w:tcW w:w="5054" w:type="dxa"/>
          </w:tcPr>
          <w:p w:rsidR="000D0641" w:rsidRPr="005E3A10" w:rsidRDefault="000D0641" w:rsidP="00D835CF">
            <w:pPr>
              <w:pStyle w:val="Infotext"/>
              <w:rPr>
                <w:sz w:val="24"/>
                <w:szCs w:val="24"/>
              </w:rPr>
            </w:pPr>
            <w:r w:rsidRPr="000A477E">
              <w:rPr>
                <w:sz w:val="24"/>
                <w:szCs w:val="24"/>
              </w:rPr>
              <w:t>Tom Whiting, Corporate Director of Resources</w:t>
            </w:r>
          </w:p>
        </w:tc>
      </w:tr>
      <w:tr w:rsidR="000D0641">
        <w:tc>
          <w:tcPr>
            <w:tcW w:w="3456" w:type="dxa"/>
          </w:tcPr>
          <w:p w:rsidR="000D0641" w:rsidRPr="00DB6C3D" w:rsidRDefault="000D0641" w:rsidP="00DB6C3D">
            <w:pPr>
              <w:pStyle w:val="Infotext"/>
              <w:rPr>
                <w:rFonts w:ascii="Arial Black" w:hAnsi="Arial Black" w:cs="Arial Black"/>
              </w:rPr>
            </w:pPr>
            <w:r w:rsidRPr="00DB6C3D">
              <w:rPr>
                <w:rFonts w:ascii="Arial Black" w:hAnsi="Arial Black" w:cs="Arial Black"/>
              </w:rPr>
              <w:t>Portfolio Holder:</w:t>
            </w:r>
          </w:p>
          <w:p w:rsidR="000D0641" w:rsidRPr="00C13A5F" w:rsidRDefault="000D0641" w:rsidP="00A53B04">
            <w:pPr>
              <w:pStyle w:val="BodyText"/>
              <w:rPr>
                <w:rFonts w:ascii="Arial Black" w:hAnsi="Arial Black" w:cs="Arial Black"/>
              </w:rPr>
            </w:pPr>
          </w:p>
        </w:tc>
        <w:tc>
          <w:tcPr>
            <w:tcW w:w="5054" w:type="dxa"/>
          </w:tcPr>
          <w:p w:rsidR="000D0641" w:rsidRPr="00614A65" w:rsidRDefault="000D0641" w:rsidP="00614A65">
            <w:pPr>
              <w:pStyle w:val="Infotext"/>
              <w:rPr>
                <w:sz w:val="24"/>
                <w:szCs w:val="24"/>
              </w:rPr>
            </w:pPr>
            <w:r w:rsidRPr="00614A65">
              <w:rPr>
                <w:sz w:val="24"/>
                <w:szCs w:val="24"/>
              </w:rPr>
              <w:t>Councillor Keith Ferry, Deputy Leader and</w:t>
            </w:r>
          </w:p>
          <w:p w:rsidR="000D0641" w:rsidRPr="00614A65" w:rsidRDefault="000D0641" w:rsidP="00614A65">
            <w:pPr>
              <w:pStyle w:val="Infotext"/>
              <w:rPr>
                <w:sz w:val="24"/>
                <w:szCs w:val="24"/>
              </w:rPr>
            </w:pPr>
            <w:r w:rsidRPr="00614A65">
              <w:rPr>
                <w:sz w:val="24"/>
                <w:szCs w:val="24"/>
              </w:rPr>
              <w:t>Portfolio Holder for Business, Planning and</w:t>
            </w:r>
          </w:p>
          <w:p w:rsidR="000D0641" w:rsidRDefault="000D0641" w:rsidP="00614A65">
            <w:pPr>
              <w:pStyle w:val="Infotext"/>
              <w:rPr>
                <w:sz w:val="24"/>
                <w:szCs w:val="24"/>
              </w:rPr>
            </w:pPr>
            <w:r w:rsidRPr="00614A65">
              <w:rPr>
                <w:sz w:val="24"/>
                <w:szCs w:val="24"/>
              </w:rPr>
              <w:t>Regeneration</w:t>
            </w:r>
          </w:p>
          <w:p w:rsidR="000D0641" w:rsidRDefault="000D0641" w:rsidP="00614A65">
            <w:pPr>
              <w:pStyle w:val="Infotext"/>
              <w:rPr>
                <w:sz w:val="24"/>
                <w:szCs w:val="24"/>
              </w:rPr>
            </w:pPr>
          </w:p>
          <w:p w:rsidR="000D0641" w:rsidRPr="000A477E" w:rsidRDefault="000D0641" w:rsidP="00D835CF">
            <w:pPr>
              <w:pStyle w:val="Infotext"/>
              <w:rPr>
                <w:sz w:val="24"/>
                <w:szCs w:val="24"/>
              </w:rPr>
            </w:pPr>
            <w:r w:rsidRPr="000A477E">
              <w:rPr>
                <w:sz w:val="24"/>
                <w:szCs w:val="24"/>
              </w:rPr>
              <w:t>Councillor Sachin Shah, Portfolio Holder for Finance and Major Contracts</w:t>
            </w:r>
          </w:p>
          <w:p w:rsidR="000D0641" w:rsidRPr="005E3A10" w:rsidRDefault="000D0641" w:rsidP="00D835CF">
            <w:pPr>
              <w:pStyle w:val="Infotext"/>
              <w:rPr>
                <w:color w:val="FF0000"/>
                <w:sz w:val="24"/>
                <w:szCs w:val="24"/>
              </w:rPr>
            </w:pPr>
          </w:p>
        </w:tc>
      </w:tr>
      <w:tr w:rsidR="000D0641">
        <w:tc>
          <w:tcPr>
            <w:tcW w:w="3456" w:type="dxa"/>
          </w:tcPr>
          <w:p w:rsidR="000D0641" w:rsidRPr="00DB6C3D" w:rsidRDefault="000D0641" w:rsidP="00DB6C3D">
            <w:pPr>
              <w:pStyle w:val="Infotext"/>
              <w:rPr>
                <w:rFonts w:ascii="Arial Black" w:hAnsi="Arial Black" w:cs="Arial Black"/>
              </w:rPr>
            </w:pPr>
            <w:r w:rsidRPr="00DB6C3D">
              <w:rPr>
                <w:rFonts w:ascii="Arial Black" w:hAnsi="Arial Black" w:cs="Arial Black"/>
              </w:rPr>
              <w:t>Exempt:</w:t>
            </w:r>
          </w:p>
          <w:p w:rsidR="000D0641" w:rsidRPr="00C13A5F" w:rsidRDefault="000D0641" w:rsidP="00A53B04">
            <w:pPr>
              <w:pStyle w:val="BodyText"/>
              <w:rPr>
                <w:rFonts w:ascii="Arial Black" w:hAnsi="Arial Black" w:cs="Arial Black"/>
              </w:rPr>
            </w:pPr>
          </w:p>
        </w:tc>
        <w:tc>
          <w:tcPr>
            <w:tcW w:w="5054" w:type="dxa"/>
          </w:tcPr>
          <w:p w:rsidR="000D0641" w:rsidRPr="005E3A10" w:rsidRDefault="000D0641" w:rsidP="00D835CF">
            <w:pPr>
              <w:pStyle w:val="Infotext"/>
              <w:rPr>
                <w:sz w:val="24"/>
                <w:szCs w:val="24"/>
              </w:rPr>
            </w:pPr>
            <w:r w:rsidRPr="005E3A10">
              <w:rPr>
                <w:sz w:val="24"/>
                <w:szCs w:val="24"/>
              </w:rPr>
              <w:t>No</w:t>
            </w:r>
          </w:p>
          <w:p w:rsidR="000D0641" w:rsidRPr="005E3A10" w:rsidRDefault="000D0641" w:rsidP="000E11D8">
            <w:pPr>
              <w:pStyle w:val="Infotext"/>
              <w:rPr>
                <w:color w:val="FF0000"/>
                <w:sz w:val="24"/>
                <w:szCs w:val="24"/>
              </w:rPr>
            </w:pPr>
          </w:p>
        </w:tc>
      </w:tr>
      <w:tr w:rsidR="000D0641">
        <w:tc>
          <w:tcPr>
            <w:tcW w:w="3456" w:type="dxa"/>
          </w:tcPr>
          <w:p w:rsidR="000D0641" w:rsidRPr="00DB6C3D" w:rsidRDefault="000D0641" w:rsidP="00DB6C3D">
            <w:pPr>
              <w:pStyle w:val="Infotext"/>
              <w:rPr>
                <w:rFonts w:ascii="Arial Black" w:hAnsi="Arial Black" w:cs="Arial Black"/>
              </w:rPr>
            </w:pPr>
            <w:r w:rsidRPr="00DB6C3D">
              <w:rPr>
                <w:rFonts w:ascii="Arial Black" w:hAnsi="Arial Black" w:cs="Arial Black"/>
              </w:rPr>
              <w:t>Decision subject to Call-in:</w:t>
            </w:r>
          </w:p>
          <w:p w:rsidR="000D0641" w:rsidRPr="00C13A5F" w:rsidRDefault="000D0641" w:rsidP="00A53B04">
            <w:pPr>
              <w:pStyle w:val="BodyText"/>
              <w:rPr>
                <w:rFonts w:ascii="Arial Black" w:hAnsi="Arial Black" w:cs="Arial Black"/>
              </w:rPr>
            </w:pPr>
          </w:p>
        </w:tc>
        <w:tc>
          <w:tcPr>
            <w:tcW w:w="5054" w:type="dxa"/>
          </w:tcPr>
          <w:p w:rsidR="000D0641" w:rsidRPr="005E3A10" w:rsidRDefault="000D0641" w:rsidP="00D835CF">
            <w:pPr>
              <w:pStyle w:val="Infotext"/>
              <w:rPr>
                <w:sz w:val="24"/>
                <w:szCs w:val="24"/>
              </w:rPr>
            </w:pPr>
            <w:r>
              <w:rPr>
                <w:sz w:val="24"/>
                <w:szCs w:val="24"/>
              </w:rPr>
              <w:t>Yes</w:t>
            </w:r>
          </w:p>
          <w:p w:rsidR="000D0641" w:rsidRPr="005E3A10" w:rsidRDefault="000D0641" w:rsidP="00D835CF"/>
          <w:p w:rsidR="000D0641" w:rsidRPr="005E3A10" w:rsidRDefault="000D0641" w:rsidP="00D835CF"/>
        </w:tc>
      </w:tr>
      <w:tr w:rsidR="000D0641">
        <w:tc>
          <w:tcPr>
            <w:tcW w:w="3456" w:type="dxa"/>
          </w:tcPr>
          <w:p w:rsidR="000D0641" w:rsidRDefault="000D0641" w:rsidP="00A53B04">
            <w:pPr>
              <w:pStyle w:val="Infotext"/>
              <w:rPr>
                <w:rFonts w:ascii="Arial Black" w:hAnsi="Arial Black" w:cs="Arial Black"/>
              </w:rPr>
            </w:pPr>
            <w:r>
              <w:rPr>
                <w:rFonts w:ascii="Arial Black" w:hAnsi="Arial Black" w:cs="Arial Black"/>
              </w:rPr>
              <w:t>Wards affected:</w:t>
            </w:r>
          </w:p>
          <w:p w:rsidR="000D0641" w:rsidRPr="00C13A5F" w:rsidRDefault="000D0641" w:rsidP="00A53B04">
            <w:pPr>
              <w:pStyle w:val="Infotext"/>
              <w:rPr>
                <w:rFonts w:ascii="Arial Black" w:hAnsi="Arial Black" w:cs="Arial Black"/>
              </w:rPr>
            </w:pPr>
          </w:p>
        </w:tc>
        <w:tc>
          <w:tcPr>
            <w:tcW w:w="5054" w:type="dxa"/>
          </w:tcPr>
          <w:p w:rsidR="000D0641" w:rsidRPr="005E3A10" w:rsidRDefault="000D0641" w:rsidP="00D835CF">
            <w:r>
              <w:t>All</w:t>
            </w:r>
          </w:p>
        </w:tc>
      </w:tr>
      <w:tr w:rsidR="000D0641">
        <w:tc>
          <w:tcPr>
            <w:tcW w:w="3456" w:type="dxa"/>
          </w:tcPr>
          <w:p w:rsidR="000D0641" w:rsidRPr="00C13A5F" w:rsidRDefault="000D0641" w:rsidP="00A53B04">
            <w:pPr>
              <w:pStyle w:val="Infotext"/>
              <w:rPr>
                <w:rFonts w:ascii="Arial Black" w:hAnsi="Arial Black" w:cs="Arial Black"/>
              </w:rPr>
            </w:pPr>
            <w:r w:rsidRPr="00C13A5F">
              <w:rPr>
                <w:rFonts w:ascii="Arial Black" w:hAnsi="Arial Black" w:cs="Arial Black"/>
              </w:rPr>
              <w:t>Enclosures:</w:t>
            </w:r>
          </w:p>
          <w:p w:rsidR="000D0641" w:rsidRPr="00C13A5F" w:rsidRDefault="000D0641" w:rsidP="00A53B04">
            <w:pPr>
              <w:pStyle w:val="Infotext"/>
              <w:rPr>
                <w:rFonts w:ascii="Arial Black" w:hAnsi="Arial Black" w:cs="Arial Black"/>
              </w:rPr>
            </w:pPr>
          </w:p>
        </w:tc>
        <w:tc>
          <w:tcPr>
            <w:tcW w:w="5054" w:type="dxa"/>
          </w:tcPr>
          <w:p w:rsidR="000D0641" w:rsidRPr="000A477E" w:rsidRDefault="000D0641" w:rsidP="000E11D8">
            <w:pPr>
              <w:pStyle w:val="Infotext"/>
              <w:rPr>
                <w:sz w:val="24"/>
                <w:szCs w:val="24"/>
              </w:rPr>
            </w:pPr>
            <w:r w:rsidRPr="000A477E">
              <w:rPr>
                <w:sz w:val="24"/>
                <w:szCs w:val="24"/>
              </w:rPr>
              <w:t>Commercialisation Strategy 2015-2018</w:t>
            </w:r>
          </w:p>
          <w:p w:rsidR="000D0641" w:rsidRPr="005E3A10" w:rsidRDefault="000D0641" w:rsidP="00DB6C3D">
            <w:pPr>
              <w:pStyle w:val="Infotext"/>
              <w:rPr>
                <w:color w:val="FF0000"/>
                <w:sz w:val="24"/>
                <w:szCs w:val="24"/>
              </w:rPr>
            </w:pPr>
          </w:p>
        </w:tc>
      </w:tr>
    </w:tbl>
    <w:p w:rsidR="000D0641" w:rsidRDefault="000D0641" w:rsidP="00333FAA"/>
    <w:p w:rsidR="000D0641" w:rsidRDefault="000D0641" w:rsidP="00333FAA">
      <w:pPr>
        <w:sectPr w:rsidR="000D0641" w:rsidSect="005E3A10">
          <w:footerReference w:type="default" r:id="rId7"/>
          <w:headerReference w:type="first" r:id="rId8"/>
          <w:footerReference w:type="first" r:id="rId9"/>
          <w:pgSz w:w="11909" w:h="16834" w:code="9"/>
          <w:pgMar w:top="720" w:right="1440" w:bottom="2736" w:left="1440" w:header="720" w:footer="432" w:gutter="0"/>
          <w:cols w:space="720"/>
          <w:titlePg/>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5"/>
      </w:tblGrid>
      <w:tr w:rsidR="000D0641">
        <w:tc>
          <w:tcPr>
            <w:tcW w:w="8525" w:type="dxa"/>
            <w:tcBorders>
              <w:top w:val="nil"/>
              <w:left w:val="nil"/>
              <w:right w:val="nil"/>
            </w:tcBorders>
          </w:tcPr>
          <w:p w:rsidR="000D0641" w:rsidRDefault="000D0641" w:rsidP="00A53B04">
            <w:pPr>
              <w:pStyle w:val="Heading1"/>
            </w:pPr>
            <w:r>
              <w:t>Section 1 – Summary and Recommendations</w:t>
            </w:r>
          </w:p>
          <w:p w:rsidR="000D0641" w:rsidRDefault="000D0641" w:rsidP="00A53B04"/>
        </w:tc>
      </w:tr>
      <w:tr w:rsidR="000D0641">
        <w:tc>
          <w:tcPr>
            <w:tcW w:w="8525" w:type="dxa"/>
          </w:tcPr>
          <w:p w:rsidR="000D0641" w:rsidRDefault="000D0641" w:rsidP="00A53B04"/>
          <w:p w:rsidR="000D0641" w:rsidRPr="00B23541" w:rsidRDefault="000D0641" w:rsidP="00456113">
            <w:r w:rsidRPr="00B23541">
              <w:t>This report sets out a Commercial</w:t>
            </w:r>
            <w:r>
              <w:t>isation Strategy for the Council.</w:t>
            </w:r>
          </w:p>
          <w:p w:rsidR="000D0641" w:rsidRDefault="000D0641" w:rsidP="001C7E35">
            <w:pPr>
              <w:pStyle w:val="Heading2"/>
            </w:pPr>
          </w:p>
          <w:p w:rsidR="000D0641" w:rsidRDefault="000D0641" w:rsidP="001C7E35">
            <w:pPr>
              <w:pStyle w:val="Heading2"/>
            </w:pPr>
            <w:r>
              <w:t xml:space="preserve">Recommendations: </w:t>
            </w:r>
          </w:p>
          <w:p w:rsidR="000D0641" w:rsidRDefault="000D0641" w:rsidP="00456113">
            <w:r>
              <w:t>Cabinet is requested to approve the Commercialisation Strategy.</w:t>
            </w:r>
          </w:p>
          <w:p w:rsidR="000D0641" w:rsidRDefault="000D0641" w:rsidP="001C7E35"/>
          <w:p w:rsidR="000D0641" w:rsidRDefault="000D0641" w:rsidP="00456113">
            <w:pPr>
              <w:pStyle w:val="Heading2"/>
              <w:rPr>
                <w:color w:val="FF0000"/>
              </w:rPr>
            </w:pPr>
            <w:r>
              <w:t>Reason:  (For recommendations)</w:t>
            </w:r>
          </w:p>
          <w:p w:rsidR="000D0641" w:rsidRDefault="000D0641" w:rsidP="00456113">
            <w:r>
              <w:t xml:space="preserve">To ensure that the commercialisation agenda supports the Council Priorities.  </w:t>
            </w:r>
          </w:p>
          <w:p w:rsidR="000D0641" w:rsidRPr="00456113" w:rsidRDefault="000D0641" w:rsidP="00456113"/>
          <w:p w:rsidR="000D0641" w:rsidRDefault="000D0641" w:rsidP="00A53B04">
            <w:pPr>
              <w:jc w:val="both"/>
            </w:pPr>
          </w:p>
        </w:tc>
      </w:tr>
    </w:tbl>
    <w:p w:rsidR="000D0641" w:rsidRPr="00937489" w:rsidRDefault="000D0641" w:rsidP="00333FAA">
      <w:pPr>
        <w:pStyle w:val="Heading1"/>
        <w:rPr>
          <w:rFonts w:ascii="Arial" w:hAnsi="Arial" w:cs="Arial"/>
          <w:sz w:val="24"/>
          <w:szCs w:val="24"/>
        </w:rPr>
      </w:pPr>
    </w:p>
    <w:p w:rsidR="000D0641" w:rsidRDefault="000D0641" w:rsidP="00333FAA">
      <w:pPr>
        <w:pStyle w:val="Heading1"/>
      </w:pPr>
      <w:r>
        <w:t>Section 2 – Report</w:t>
      </w:r>
    </w:p>
    <w:p w:rsidR="000D0641" w:rsidRDefault="000D0641" w:rsidP="00333FAA">
      <w:pPr>
        <w:pStyle w:val="Heading2"/>
      </w:pPr>
    </w:p>
    <w:p w:rsidR="000D0641" w:rsidRDefault="000D0641" w:rsidP="001C7E35">
      <w:pPr>
        <w:pStyle w:val="Heading2"/>
      </w:pPr>
      <w:r>
        <w:t>Introductory paragraph</w:t>
      </w:r>
    </w:p>
    <w:p w:rsidR="000D0641" w:rsidRDefault="000D0641" w:rsidP="00456113">
      <w:pPr>
        <w:pStyle w:val="msolistparagraph0"/>
        <w:tabs>
          <w:tab w:val="num" w:pos="561"/>
        </w:tabs>
        <w:ind w:left="0"/>
        <w:rPr>
          <w:rFonts w:ascii="Arial" w:hAnsi="Arial" w:cs="Arial"/>
          <w:sz w:val="24"/>
          <w:szCs w:val="24"/>
        </w:rPr>
      </w:pPr>
      <w:r>
        <w:rPr>
          <w:rFonts w:ascii="Arial" w:hAnsi="Arial" w:cs="Arial"/>
          <w:sz w:val="24"/>
          <w:szCs w:val="24"/>
        </w:rPr>
        <w:t>In response to the significant cuts to Government funding that the Council has already experienced and is going to continue to experience over the coming years, the challenge to the Council is how to address this funding gap.  There is no doubt that it is going to require a radically different approach.</w:t>
      </w:r>
    </w:p>
    <w:p w:rsidR="000D0641" w:rsidRDefault="000D0641" w:rsidP="00456113">
      <w:pPr>
        <w:pStyle w:val="msolistparagraph0"/>
        <w:tabs>
          <w:tab w:val="num" w:pos="561"/>
        </w:tabs>
        <w:ind w:left="0"/>
        <w:rPr>
          <w:rFonts w:ascii="Arial" w:hAnsi="Arial" w:cs="Arial"/>
          <w:sz w:val="24"/>
          <w:szCs w:val="24"/>
        </w:rPr>
      </w:pPr>
    </w:p>
    <w:p w:rsidR="000D0641" w:rsidRDefault="000D0641" w:rsidP="00456113">
      <w:pPr>
        <w:pStyle w:val="msolistparagraph0"/>
        <w:tabs>
          <w:tab w:val="num" w:pos="561"/>
        </w:tabs>
        <w:ind w:left="0"/>
        <w:rPr>
          <w:rFonts w:ascii="Arial" w:hAnsi="Arial" w:cs="Arial"/>
          <w:sz w:val="24"/>
          <w:szCs w:val="24"/>
        </w:rPr>
      </w:pPr>
      <w:r>
        <w:rPr>
          <w:rFonts w:ascii="Arial" w:hAnsi="Arial" w:cs="Arial"/>
          <w:sz w:val="24"/>
          <w:szCs w:val="24"/>
        </w:rPr>
        <w:t xml:space="preserve">Through being more commercially-driven, the Council has the opportunity to put local services onto a more sustainable footing and to bring in new revenue streams which can also be invested in priority outcomes, supporting the commitment to be </w:t>
      </w:r>
      <w:r w:rsidRPr="005A457B">
        <w:rPr>
          <w:rFonts w:ascii="Arial" w:hAnsi="Arial" w:cs="Arial"/>
          <w:sz w:val="24"/>
          <w:szCs w:val="24"/>
        </w:rPr>
        <w:t>an efficient and well run borough</w:t>
      </w:r>
      <w:r>
        <w:rPr>
          <w:rFonts w:ascii="Arial" w:hAnsi="Arial" w:cs="Arial"/>
          <w:sz w:val="24"/>
          <w:szCs w:val="24"/>
        </w:rPr>
        <w:t>.</w:t>
      </w:r>
    </w:p>
    <w:p w:rsidR="000D0641" w:rsidRDefault="000D0641" w:rsidP="00456113">
      <w:pPr>
        <w:pStyle w:val="msolistparagraph0"/>
        <w:tabs>
          <w:tab w:val="num" w:pos="561"/>
        </w:tabs>
        <w:ind w:left="0"/>
        <w:rPr>
          <w:rFonts w:ascii="Arial" w:hAnsi="Arial" w:cs="Arial"/>
          <w:sz w:val="24"/>
          <w:szCs w:val="24"/>
        </w:rPr>
      </w:pPr>
    </w:p>
    <w:p w:rsidR="000D0641" w:rsidRPr="009D3506" w:rsidRDefault="000D0641" w:rsidP="00456113">
      <w:pPr>
        <w:pStyle w:val="msolistparagraph0"/>
        <w:tabs>
          <w:tab w:val="num" w:pos="561"/>
        </w:tabs>
        <w:ind w:left="0"/>
        <w:rPr>
          <w:rFonts w:ascii="Arial" w:hAnsi="Arial" w:cs="Arial"/>
          <w:sz w:val="24"/>
          <w:szCs w:val="24"/>
          <w:lang w:val="en-GB"/>
        </w:rPr>
      </w:pPr>
      <w:r w:rsidRPr="00FD6011">
        <w:rPr>
          <w:rFonts w:ascii="Arial" w:hAnsi="Arial" w:cs="Arial"/>
          <w:sz w:val="24"/>
          <w:szCs w:val="24"/>
        </w:rPr>
        <w:t>Commercialisation is anexciting and positive agenda for Harrow Council. It is an opportunity to reassess how we fund services, become more self-sufficient and less reliant on central Government funding, whilst at the same time building on the Council’s strengths for the benefit of local people, local organisations and local communities.</w:t>
      </w:r>
    </w:p>
    <w:p w:rsidR="000D0641" w:rsidRDefault="000D0641" w:rsidP="001C7E35"/>
    <w:p w:rsidR="000D0641" w:rsidRDefault="000D0641" w:rsidP="000E11D8">
      <w:pPr>
        <w:pStyle w:val="Heading2"/>
        <w:rPr>
          <w:color w:val="FF0000"/>
        </w:rPr>
      </w:pPr>
      <w:r>
        <w:t>Options considered</w:t>
      </w:r>
    </w:p>
    <w:p w:rsidR="000D0641" w:rsidRDefault="000D0641" w:rsidP="000E11D8">
      <w:r>
        <w:t>Doing nothing was not an option given the scale of cuts to funding we are experiencing and we are expecting in the coming years.</w:t>
      </w:r>
    </w:p>
    <w:p w:rsidR="000D0641" w:rsidRDefault="000D0641" w:rsidP="000E11D8"/>
    <w:p w:rsidR="000D0641" w:rsidRDefault="000D0641" w:rsidP="000E11D8">
      <w:r>
        <w:t xml:space="preserve">The Council has been developing its work on Commercialisation for several months. This has involved significant research into developments in the local Government sector. A number of case studies have been looked at and are summarised in the attached strategy. </w:t>
      </w:r>
    </w:p>
    <w:p w:rsidR="000D0641" w:rsidRDefault="000D0641" w:rsidP="000E11D8"/>
    <w:p w:rsidR="000D0641" w:rsidRDefault="000D0641" w:rsidP="000E11D8">
      <w:r>
        <w:t>The Local Government Association (LGA) has also developed a set of Commercialisation Case Studies and these have been heavily drawn up on in developing our approach. The case studies looked at and the research undertaken has highlighted a number of options that Councils are pursuing in an ambition to be more commercial. These options include:</w:t>
      </w:r>
    </w:p>
    <w:p w:rsidR="000D0641" w:rsidRDefault="000D0641" w:rsidP="000E11D8"/>
    <w:p w:rsidR="000D0641" w:rsidRDefault="000D0641" w:rsidP="00D849B4">
      <w:pPr>
        <w:pStyle w:val="ListParagraph"/>
        <w:numPr>
          <w:ilvl w:val="0"/>
          <w:numId w:val="25"/>
        </w:numPr>
      </w:pPr>
      <w:r>
        <w:t>Improving the trading performance of services that are currently provided to improve revenue and reduce costs.</w:t>
      </w:r>
    </w:p>
    <w:p w:rsidR="000D0641" w:rsidRDefault="000D0641" w:rsidP="00D849B4">
      <w:pPr>
        <w:pStyle w:val="ListParagraph"/>
        <w:numPr>
          <w:ilvl w:val="0"/>
          <w:numId w:val="25"/>
        </w:numPr>
      </w:pPr>
      <w:r>
        <w:t>Reviewing the prices charged for traded services.</w:t>
      </w:r>
    </w:p>
    <w:p w:rsidR="000D0641" w:rsidRDefault="000D0641" w:rsidP="00D849B4">
      <w:pPr>
        <w:pStyle w:val="ListParagraph"/>
        <w:numPr>
          <w:ilvl w:val="0"/>
          <w:numId w:val="25"/>
        </w:numPr>
      </w:pPr>
      <w:r>
        <w:t>Fundamentally looking at the commissioning strategy for major service areas.</w:t>
      </w:r>
    </w:p>
    <w:p w:rsidR="000D0641" w:rsidRDefault="000D0641" w:rsidP="00D849B4">
      <w:pPr>
        <w:pStyle w:val="ListParagraph"/>
        <w:numPr>
          <w:ilvl w:val="0"/>
          <w:numId w:val="25"/>
        </w:numPr>
      </w:pPr>
      <w:r>
        <w:t>Improving contract management and ongoing better procurement.</w:t>
      </w:r>
    </w:p>
    <w:p w:rsidR="000D0641" w:rsidRDefault="000D0641" w:rsidP="00D849B4">
      <w:pPr>
        <w:pStyle w:val="ListParagraph"/>
        <w:numPr>
          <w:ilvl w:val="0"/>
          <w:numId w:val="25"/>
        </w:numPr>
      </w:pPr>
      <w:r>
        <w:t>Investing in portfolios of assets that generate a rate of return that is greater than the cost of borrowing.</w:t>
      </w:r>
    </w:p>
    <w:p w:rsidR="000D0641" w:rsidRDefault="000D0641" w:rsidP="00D849B4">
      <w:pPr>
        <w:pStyle w:val="ListParagraph"/>
        <w:numPr>
          <w:ilvl w:val="0"/>
          <w:numId w:val="25"/>
        </w:numPr>
      </w:pPr>
      <w:r>
        <w:t>Launching new business ideas that capitalise on unique strengths the Council brings.</w:t>
      </w:r>
    </w:p>
    <w:p w:rsidR="000D0641" w:rsidRDefault="000D0641" w:rsidP="000E11D8">
      <w:pPr>
        <w:pStyle w:val="ListParagraph"/>
        <w:numPr>
          <w:ilvl w:val="0"/>
          <w:numId w:val="25"/>
        </w:numPr>
      </w:pPr>
      <w:r>
        <w:t>Achieving new revenue streams through regeneration.</w:t>
      </w:r>
    </w:p>
    <w:p w:rsidR="000D0641" w:rsidRDefault="000D0641" w:rsidP="004F2021"/>
    <w:p w:rsidR="000D0641" w:rsidRDefault="000D0641" w:rsidP="004F2021">
      <w:r>
        <w:t>In pursuing different types of commercial opportunity the Council also has to consider what it can do within current legal powers and where it might need to establish specific new trading arrangements to support its ambitions. Options are also being considered in this area.</w:t>
      </w:r>
    </w:p>
    <w:p w:rsidR="000D0641" w:rsidRDefault="000D0641" w:rsidP="00333FAA"/>
    <w:p w:rsidR="000D0641" w:rsidRPr="00996CF7" w:rsidRDefault="000D0641" w:rsidP="00416BCE">
      <w:pPr>
        <w:rPr>
          <w:b/>
          <w:bCs/>
        </w:rPr>
      </w:pPr>
      <w:r>
        <w:rPr>
          <w:b/>
          <w:bCs/>
          <w:sz w:val="28"/>
          <w:szCs w:val="28"/>
        </w:rPr>
        <w:t>Reasons for commercialisation</w:t>
      </w:r>
    </w:p>
    <w:p w:rsidR="000D0641" w:rsidRDefault="000D0641" w:rsidP="00333FAA"/>
    <w:p w:rsidR="000D0641" w:rsidRDefault="000D0641" w:rsidP="00333FAA">
      <w:r w:rsidRPr="00996CF7">
        <w:t xml:space="preserve">The Council still needs to make significant </w:t>
      </w:r>
      <w:r>
        <w:t>difficult decisions in the face of the funding gap which is forcing it to look more commercially at existing methods of service delivery.</w:t>
      </w:r>
    </w:p>
    <w:p w:rsidR="000D0641" w:rsidRPr="00996CF7" w:rsidRDefault="000D0641" w:rsidP="00333FAA"/>
    <w:p w:rsidR="000D0641" w:rsidRPr="00996CF7" w:rsidRDefault="000D0641" w:rsidP="00D73441">
      <w:r>
        <w:t>The funding gap is significant and existing approaches alone are not going to be sufficient to offset this.  To continue to deliver priority outcomes on a sustainable basis, becoming more commercially minded in all areas is going to become increasingly necessary.</w:t>
      </w:r>
    </w:p>
    <w:p w:rsidR="000D0641" w:rsidRDefault="000D0641" w:rsidP="00336F9C"/>
    <w:p w:rsidR="000D0641" w:rsidRDefault="000D0641" w:rsidP="00336F9C">
      <w:r>
        <w:t>T</w:t>
      </w:r>
      <w:r w:rsidRPr="00F3373C">
        <w:t xml:space="preserve">he coming funding cuts </w:t>
      </w:r>
      <w:r>
        <w:t>are</w:t>
      </w:r>
      <w:r w:rsidRPr="00F3373C">
        <w:t xml:space="preserve"> likely </w:t>
      </w:r>
      <w:r>
        <w:t xml:space="preserve">going to </w:t>
      </w:r>
      <w:r w:rsidRPr="00F3373C">
        <w:t>result in a significant reduction in standard of services provided to customers, and potential</w:t>
      </w:r>
      <w:r w:rsidRPr="00EE7A11">
        <w:t xml:space="preserve"> increased pressure to sell assets which may reduce available facilities for local communities.</w:t>
      </w:r>
      <w:r>
        <w:t xml:space="preserve">  Commercialisation is one way to offset some of these cuts.</w:t>
      </w:r>
    </w:p>
    <w:p w:rsidR="000D0641" w:rsidRDefault="000D0641" w:rsidP="00336F9C"/>
    <w:p w:rsidR="000D0641" w:rsidRDefault="000D0641" w:rsidP="00336F9C">
      <w:r>
        <w:t>In some areas, such as Legal Services, the Council has had early successes so this has built confidence in this approach.</w:t>
      </w:r>
    </w:p>
    <w:p w:rsidR="000D0641" w:rsidRDefault="000D0641" w:rsidP="00336F9C"/>
    <w:p w:rsidR="000D0641" w:rsidRPr="00996CF7" w:rsidRDefault="000D0641" w:rsidP="00336F9C">
      <w:r>
        <w:t>Examples from across the Local Government sector have also built confidence in the role that commercialisation can play in bringing money in to the Council and helping put local services onto a more sustainable footing.</w:t>
      </w:r>
    </w:p>
    <w:p w:rsidR="000D0641" w:rsidRPr="00DE7998" w:rsidRDefault="000D0641" w:rsidP="00333FAA">
      <w:pPr>
        <w:rPr>
          <w:color w:val="0000FF"/>
        </w:rPr>
      </w:pPr>
    </w:p>
    <w:p w:rsidR="000D0641" w:rsidRPr="004235E3" w:rsidRDefault="000D0641" w:rsidP="00333FAA">
      <w:pPr>
        <w:pStyle w:val="Heading2"/>
      </w:pPr>
      <w:r w:rsidRPr="004235E3">
        <w:t>Implications of the Recommendation</w:t>
      </w:r>
    </w:p>
    <w:p w:rsidR="000D0641" w:rsidRDefault="000D0641" w:rsidP="00333FAA">
      <w:pPr>
        <w:pStyle w:val="Heading3"/>
        <w:rPr>
          <w:color w:val="0000FF"/>
        </w:rPr>
      </w:pPr>
    </w:p>
    <w:p w:rsidR="000D0641" w:rsidRDefault="000D0641" w:rsidP="004235E3">
      <w:pPr>
        <w:pStyle w:val="Heading3"/>
        <w:ind w:left="0" w:firstLine="0"/>
        <w:rPr>
          <w:b w:val="0"/>
          <w:bCs w:val="0"/>
          <w:i w:val="0"/>
          <w:iCs w:val="0"/>
        </w:rPr>
      </w:pPr>
      <w:r w:rsidRPr="004235E3">
        <w:rPr>
          <w:b w:val="0"/>
          <w:bCs w:val="0"/>
          <w:i w:val="0"/>
          <w:iCs w:val="0"/>
        </w:rPr>
        <w:t xml:space="preserve">The vision is for Harrow Council to become an innovative and entrepreneurial authority that continuously drives positive annual contributions to the </w:t>
      </w:r>
      <w:r>
        <w:rPr>
          <w:b w:val="0"/>
          <w:bCs w:val="0"/>
          <w:i w:val="0"/>
          <w:iCs w:val="0"/>
        </w:rPr>
        <w:t>council</w:t>
      </w:r>
      <w:r w:rsidRPr="004235E3">
        <w:rPr>
          <w:b w:val="0"/>
          <w:bCs w:val="0"/>
          <w:i w:val="0"/>
          <w:iCs w:val="0"/>
        </w:rPr>
        <w:t xml:space="preserve"> by generating extra revenue and delivering cost reductions through trading and business improvement.</w:t>
      </w:r>
    </w:p>
    <w:p w:rsidR="000D0641" w:rsidRDefault="000D0641" w:rsidP="004235E3">
      <w:pPr>
        <w:pStyle w:val="Heading3"/>
        <w:ind w:left="0" w:firstLine="0"/>
        <w:rPr>
          <w:b w:val="0"/>
          <w:bCs w:val="0"/>
          <w:i w:val="0"/>
          <w:iCs w:val="0"/>
        </w:rPr>
      </w:pPr>
    </w:p>
    <w:p w:rsidR="000D0641" w:rsidRPr="004235E3" w:rsidRDefault="000D0641" w:rsidP="004235E3">
      <w:pPr>
        <w:pStyle w:val="Heading3"/>
        <w:ind w:left="0" w:firstLine="0"/>
        <w:rPr>
          <w:b w:val="0"/>
          <w:bCs w:val="0"/>
          <w:i w:val="0"/>
          <w:iCs w:val="0"/>
        </w:rPr>
      </w:pPr>
      <w:r w:rsidRPr="004235E3">
        <w:rPr>
          <w:b w:val="0"/>
          <w:bCs w:val="0"/>
          <w:i w:val="0"/>
          <w:iCs w:val="0"/>
        </w:rPr>
        <w:t>Through this</w:t>
      </w:r>
      <w:r>
        <w:rPr>
          <w:b w:val="0"/>
          <w:bCs w:val="0"/>
          <w:i w:val="0"/>
          <w:iCs w:val="0"/>
        </w:rPr>
        <w:t>,</w:t>
      </w:r>
      <w:r w:rsidRPr="004235E3">
        <w:rPr>
          <w:b w:val="0"/>
          <w:bCs w:val="0"/>
          <w:i w:val="0"/>
          <w:iCs w:val="0"/>
        </w:rPr>
        <w:t xml:space="preserve"> local services will be put into a more sustainable footing to support local people as well as raising money to invest in our priority outcomes.</w:t>
      </w:r>
    </w:p>
    <w:p w:rsidR="000D0641" w:rsidRPr="0054590F" w:rsidRDefault="000D0641" w:rsidP="0054590F"/>
    <w:p w:rsidR="000D0641" w:rsidRDefault="000D0641" w:rsidP="004235E3">
      <w:pPr>
        <w:jc w:val="both"/>
      </w:pPr>
      <w:r>
        <w:t>The strategy aims to deliver a substantive culture change where staff actively look</w:t>
      </w:r>
      <w:r w:rsidRPr="000D1D0C">
        <w:t xml:space="preserve"> for additional opportunities without losing focus </w:t>
      </w:r>
      <w:r>
        <w:t>on</w:t>
      </w:r>
      <w:r w:rsidRPr="000D1D0C">
        <w:t xml:space="preserve"> their existing customer base and the quality of service delivery. Services will strive to be fit to </w:t>
      </w:r>
      <w:r>
        <w:t>c</w:t>
      </w:r>
      <w:r w:rsidRPr="000D1D0C">
        <w:t xml:space="preserve">ompete and fit to market, even if they do not currently provide services externally, and services making </w:t>
      </w:r>
      <w:r>
        <w:t>positive financial contributions</w:t>
      </w:r>
      <w:r w:rsidRPr="000D1D0C">
        <w:t xml:space="preserve"> shall increasing</w:t>
      </w:r>
      <w:r>
        <w:t>ly</w:t>
      </w:r>
      <w:r w:rsidRPr="000D1D0C">
        <w:t xml:space="preserve"> be considered as the norm.</w:t>
      </w:r>
    </w:p>
    <w:p w:rsidR="000D0641" w:rsidRDefault="000D0641" w:rsidP="004235E3">
      <w:pPr>
        <w:jc w:val="both"/>
      </w:pPr>
    </w:p>
    <w:p w:rsidR="000D0641" w:rsidRDefault="000D0641" w:rsidP="004235E3">
      <w:pPr>
        <w:jc w:val="both"/>
      </w:pPr>
      <w:r>
        <w:t>The Council</w:t>
      </w:r>
      <w:r w:rsidRPr="004235E3">
        <w:t xml:space="preserve"> will have a</w:t>
      </w:r>
      <w:r>
        <w:t xml:space="preserve"> clearer</w:t>
      </w:r>
      <w:r w:rsidRPr="004235E3">
        <w:t xml:space="preserve"> understanding of </w:t>
      </w:r>
      <w:r>
        <w:t>its</w:t>
      </w:r>
      <w:r w:rsidRPr="004235E3">
        <w:t xml:space="preserve"> portfolio of external service offerings, and understand not only which ones offer a greater return than others, but also what </w:t>
      </w:r>
      <w:r>
        <w:t>changes are needed to address any shortcomings.</w:t>
      </w:r>
    </w:p>
    <w:p w:rsidR="000D0641" w:rsidRPr="00C73BE2" w:rsidRDefault="000D0641" w:rsidP="005808FB">
      <w:pPr>
        <w:ind w:right="141"/>
        <w:rPr>
          <w:lang w:val="en-US" w:eastAsia="en-GB"/>
        </w:rPr>
      </w:pPr>
      <w:r w:rsidRPr="00C73BE2">
        <w:rPr>
          <w:lang w:val="en-US" w:eastAsia="en-GB"/>
        </w:rPr>
        <w:t> </w:t>
      </w:r>
    </w:p>
    <w:p w:rsidR="000D0641" w:rsidRDefault="000D0641" w:rsidP="001C7E35"/>
    <w:p w:rsidR="000D0641" w:rsidRDefault="000D0641" w:rsidP="00333FAA">
      <w:pPr>
        <w:pStyle w:val="Heading2"/>
      </w:pPr>
      <w:r>
        <w:t>Legal Implications</w:t>
      </w:r>
    </w:p>
    <w:p w:rsidR="000D0641" w:rsidRDefault="000D0641" w:rsidP="001C7E35">
      <w:pPr>
        <w:pStyle w:val="Heading4"/>
        <w:rPr>
          <w:b w:val="0"/>
          <w:bCs w:val="0"/>
        </w:rPr>
      </w:pPr>
    </w:p>
    <w:p w:rsidR="000D0641" w:rsidRPr="00205BE1" w:rsidRDefault="000D0641" w:rsidP="00F5649A"/>
    <w:p w:rsidR="000D0641" w:rsidRPr="00205BE1" w:rsidRDefault="000D0641" w:rsidP="00F5649A">
      <w:r w:rsidRPr="00205BE1">
        <w:t>The Commercialisation Strategy includes a stream of work to establish the trading arrangements that will be required to support the Council’s commercial ambitions. External advice is being sought on this and a recommendation on trading arrangements and structures will be brought to Cabinet in due course.</w:t>
      </w:r>
    </w:p>
    <w:p w:rsidR="000D0641" w:rsidRPr="00F5649A" w:rsidRDefault="000D0641" w:rsidP="00F5649A"/>
    <w:p w:rsidR="000D0641" w:rsidRDefault="000D0641" w:rsidP="001C7E35">
      <w:pPr>
        <w:pStyle w:val="Heading4"/>
        <w:rPr>
          <w:b w:val="0"/>
          <w:bCs w:val="0"/>
        </w:rPr>
      </w:pPr>
    </w:p>
    <w:p w:rsidR="000D0641" w:rsidRDefault="000D0641" w:rsidP="00333FAA">
      <w:pPr>
        <w:pStyle w:val="Heading2"/>
      </w:pPr>
      <w:r>
        <w:t>Financial Implications</w:t>
      </w:r>
    </w:p>
    <w:p w:rsidR="000D0641" w:rsidRDefault="000D0641" w:rsidP="001C7E35"/>
    <w:p w:rsidR="000D0641" w:rsidRPr="00205BE1" w:rsidRDefault="000D0641" w:rsidP="00416BCE">
      <w:pPr>
        <w:pStyle w:val="Heading2"/>
        <w:rPr>
          <w:b w:val="0"/>
          <w:bCs w:val="0"/>
          <w:sz w:val="24"/>
          <w:szCs w:val="24"/>
        </w:rPr>
      </w:pPr>
      <w:r w:rsidRPr="00205BE1">
        <w:rPr>
          <w:b w:val="0"/>
          <w:bCs w:val="0"/>
          <w:sz w:val="24"/>
          <w:szCs w:val="24"/>
        </w:rPr>
        <w:t>The Commercialisation Strategy is designed to make a contribution to the Council’s medium term funding gaps.</w:t>
      </w:r>
    </w:p>
    <w:p w:rsidR="000D0641" w:rsidRDefault="000D0641" w:rsidP="001C7E35"/>
    <w:p w:rsidR="000D0641" w:rsidRDefault="000D0641" w:rsidP="001C7E35">
      <w:pPr>
        <w:pStyle w:val="Heading2"/>
      </w:pPr>
    </w:p>
    <w:p w:rsidR="000D0641" w:rsidRPr="00303FD6" w:rsidRDefault="000D0641" w:rsidP="00333FAA">
      <w:pPr>
        <w:pStyle w:val="Heading2"/>
        <w:keepNext/>
        <w:rPr>
          <w:color w:val="FF0000"/>
        </w:rPr>
      </w:pPr>
      <w:r w:rsidRPr="004A2543">
        <w:t>Equalities implications</w:t>
      </w:r>
      <w:r w:rsidRPr="00333FAA">
        <w:t>/Public Sector Equality Duty</w:t>
      </w:r>
    </w:p>
    <w:p w:rsidR="000D0641" w:rsidRDefault="000D0641" w:rsidP="001966D7"/>
    <w:p w:rsidR="000D0641" w:rsidRPr="00D10E5B" w:rsidRDefault="000D0641" w:rsidP="001966D7">
      <w:r>
        <w:t xml:space="preserve">There are no direct equalities impacts arising from the decisions within this report but the Commercialisation Strategy will be an important tool in ensuring that the Council’s commercial activities deliver services equitably to all members of the community.   </w:t>
      </w:r>
    </w:p>
    <w:p w:rsidR="000D0641" w:rsidRDefault="000D0641" w:rsidP="001966D7"/>
    <w:p w:rsidR="000D0641" w:rsidRPr="009117F2" w:rsidRDefault="000D0641" w:rsidP="00333FAA">
      <w:pPr>
        <w:rPr>
          <w:b/>
          <w:bCs/>
          <w:sz w:val="28"/>
          <w:szCs w:val="28"/>
        </w:rPr>
      </w:pPr>
      <w:r>
        <w:rPr>
          <w:b/>
          <w:bCs/>
          <w:sz w:val="28"/>
          <w:szCs w:val="28"/>
        </w:rPr>
        <w:t xml:space="preserve">Council </w:t>
      </w:r>
      <w:r w:rsidRPr="009117F2">
        <w:rPr>
          <w:b/>
          <w:bCs/>
          <w:sz w:val="28"/>
          <w:szCs w:val="28"/>
        </w:rPr>
        <w:t>Priorities</w:t>
      </w:r>
    </w:p>
    <w:p w:rsidR="000D0641" w:rsidRDefault="000D0641" w:rsidP="00333FAA"/>
    <w:p w:rsidR="000D0641" w:rsidRDefault="000D0641" w:rsidP="00D10E5B">
      <w:r>
        <w:t xml:space="preserve">The Commercialisation Strategy will fully support the delivery of the Council Priorities. </w:t>
      </w:r>
    </w:p>
    <w:p w:rsidR="000D0641" w:rsidRDefault="000D0641" w:rsidP="001966D7">
      <w:pPr>
        <w:tabs>
          <w:tab w:val="left" w:pos="7470"/>
        </w:tabs>
      </w:pPr>
      <w:r>
        <w:tab/>
      </w:r>
    </w:p>
    <w:p w:rsidR="000D0641" w:rsidRDefault="000D0641" w:rsidP="001966D7"/>
    <w:p w:rsidR="000D0641" w:rsidRPr="00D378CC" w:rsidRDefault="000D0641" w:rsidP="001966D7">
      <w:r w:rsidRPr="00C00122">
        <w:rPr>
          <w:b/>
          <w:bCs/>
        </w:rPr>
        <w:t>Working Together to Make a Difference for Harrow</w:t>
      </w:r>
    </w:p>
    <w:p w:rsidR="000D0641" w:rsidRDefault="000D0641" w:rsidP="001966D7">
      <w:pPr>
        <w:rPr>
          <w:lang w:val="en-US"/>
        </w:rPr>
      </w:pPr>
    </w:p>
    <w:p w:rsidR="000D0641" w:rsidRPr="00893B0C" w:rsidRDefault="000D0641" w:rsidP="00893B0C">
      <w:pPr>
        <w:rPr>
          <w:lang w:val="en-US"/>
        </w:rPr>
      </w:pPr>
      <w:r w:rsidRPr="00893B0C">
        <w:rPr>
          <w:lang w:val="en-US"/>
        </w:rPr>
        <w:t>The Council Priorities are as follows:</w:t>
      </w:r>
    </w:p>
    <w:p w:rsidR="000D0641" w:rsidRPr="00893B0C" w:rsidRDefault="000D0641" w:rsidP="00893B0C">
      <w:pPr>
        <w:rPr>
          <w:lang w:val="en-US"/>
        </w:rPr>
      </w:pPr>
    </w:p>
    <w:p w:rsidR="000D0641" w:rsidRPr="00893B0C" w:rsidRDefault="000D0641" w:rsidP="00893B0C">
      <w:pPr>
        <w:pStyle w:val="ListParagraph"/>
        <w:numPr>
          <w:ilvl w:val="0"/>
          <w:numId w:val="24"/>
        </w:numPr>
        <w:rPr>
          <w:lang w:val="en-US"/>
        </w:rPr>
      </w:pPr>
      <w:r w:rsidRPr="00893B0C">
        <w:rPr>
          <w:lang w:val="en-US"/>
        </w:rPr>
        <w:t>Making a difference for the vulnerable</w:t>
      </w:r>
    </w:p>
    <w:p w:rsidR="000D0641" w:rsidRPr="00893B0C" w:rsidRDefault="000D0641" w:rsidP="00893B0C">
      <w:pPr>
        <w:pStyle w:val="ListParagraph"/>
        <w:numPr>
          <w:ilvl w:val="0"/>
          <w:numId w:val="24"/>
        </w:numPr>
        <w:rPr>
          <w:lang w:val="en-US"/>
        </w:rPr>
      </w:pPr>
      <w:r w:rsidRPr="00893B0C">
        <w:rPr>
          <w:lang w:val="en-US"/>
        </w:rPr>
        <w:t>Making a difference for communities</w:t>
      </w:r>
    </w:p>
    <w:p w:rsidR="000D0641" w:rsidRPr="00893B0C" w:rsidRDefault="000D0641" w:rsidP="00893B0C">
      <w:pPr>
        <w:pStyle w:val="ListParagraph"/>
        <w:numPr>
          <w:ilvl w:val="0"/>
          <w:numId w:val="24"/>
        </w:numPr>
        <w:rPr>
          <w:lang w:val="en-US"/>
        </w:rPr>
      </w:pPr>
      <w:r w:rsidRPr="00893B0C">
        <w:rPr>
          <w:lang w:val="en-US"/>
        </w:rPr>
        <w:t>Making a difference for local businesses</w:t>
      </w:r>
    </w:p>
    <w:p w:rsidR="000D0641" w:rsidRDefault="000D0641" w:rsidP="00893B0C">
      <w:pPr>
        <w:pStyle w:val="ListParagraph"/>
        <w:numPr>
          <w:ilvl w:val="0"/>
          <w:numId w:val="24"/>
        </w:numPr>
      </w:pPr>
      <w:r w:rsidRPr="00893B0C">
        <w:rPr>
          <w:lang w:val="en-US"/>
        </w:rPr>
        <w:t>Making a difference for families</w:t>
      </w:r>
    </w:p>
    <w:p w:rsidR="000D0641" w:rsidRDefault="000D0641" w:rsidP="00333FAA"/>
    <w:p w:rsidR="000D0641" w:rsidRDefault="000D0641" w:rsidP="00893B0C">
      <w:r>
        <w:t>The Commercialisation Strategy supports these priorities by:</w:t>
      </w:r>
    </w:p>
    <w:p w:rsidR="000D0641" w:rsidRDefault="000D0641" w:rsidP="00893B0C"/>
    <w:p w:rsidR="000D0641" w:rsidRDefault="000D0641" w:rsidP="00893B0C">
      <w:pPr>
        <w:pStyle w:val="ListParagraph"/>
        <w:numPr>
          <w:ilvl w:val="0"/>
          <w:numId w:val="23"/>
        </w:numPr>
      </w:pPr>
      <w:r>
        <w:t>Enabling Harrow Council to offset the significant funding gaps being experienced through Government cuts.</w:t>
      </w:r>
    </w:p>
    <w:p w:rsidR="000D0641" w:rsidRDefault="000D0641" w:rsidP="00333FAA">
      <w:pPr>
        <w:pStyle w:val="ListParagraph"/>
        <w:numPr>
          <w:ilvl w:val="0"/>
          <w:numId w:val="23"/>
        </w:numPr>
      </w:pPr>
      <w:r w:rsidRPr="00893B0C">
        <w:t xml:space="preserve">Becoming more commercially-focused </w:t>
      </w:r>
      <w:r>
        <w:t xml:space="preserve">in all areas of the commissioning cycle </w:t>
      </w:r>
      <w:r w:rsidRPr="00893B0C">
        <w:t>to help sustain priority outcomes in the local community.</w:t>
      </w:r>
    </w:p>
    <w:p w:rsidR="000D0641" w:rsidRDefault="000D0641" w:rsidP="00333FAA">
      <w:pPr>
        <w:pStyle w:val="Heading1"/>
        <w:keepNext/>
      </w:pPr>
    </w:p>
    <w:p w:rsidR="000D0641" w:rsidRDefault="000D0641" w:rsidP="00333FAA">
      <w:pPr>
        <w:pStyle w:val="Heading1"/>
        <w:keepNext/>
      </w:pPr>
      <w:r>
        <w:t>Section 3 - Statutory Officer Clearance</w:t>
      </w:r>
    </w:p>
    <w:p w:rsidR="000D0641" w:rsidRDefault="000D0641" w:rsidP="00333FAA">
      <w:pPr>
        <w:keepNext/>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3"/>
        <w:gridCol w:w="383"/>
        <w:gridCol w:w="236"/>
        <w:gridCol w:w="3603"/>
      </w:tblGrid>
      <w:tr w:rsidR="000D0641">
        <w:tc>
          <w:tcPr>
            <w:tcW w:w="4752" w:type="dxa"/>
            <w:tcBorders>
              <w:bottom w:val="nil"/>
              <w:right w:val="nil"/>
            </w:tcBorders>
          </w:tcPr>
          <w:p w:rsidR="000D0641" w:rsidRDefault="000D0641" w:rsidP="00A53B04">
            <w:pPr>
              <w:pStyle w:val="Infotext"/>
            </w:pPr>
          </w:p>
          <w:p w:rsidR="000D0641" w:rsidRDefault="000D0641" w:rsidP="00A53B04">
            <w:pPr>
              <w:pStyle w:val="Infotext"/>
            </w:pPr>
          </w:p>
        </w:tc>
        <w:tc>
          <w:tcPr>
            <w:tcW w:w="387" w:type="dxa"/>
            <w:tcBorders>
              <w:left w:val="nil"/>
              <w:right w:val="nil"/>
            </w:tcBorders>
          </w:tcPr>
          <w:p w:rsidR="000D0641" w:rsidRDefault="000D0641" w:rsidP="00A53B04">
            <w:pPr>
              <w:pStyle w:val="Infotext"/>
            </w:pPr>
          </w:p>
        </w:tc>
        <w:tc>
          <w:tcPr>
            <w:tcW w:w="236" w:type="dxa"/>
            <w:tcBorders>
              <w:left w:val="nil"/>
              <w:bottom w:val="nil"/>
              <w:right w:val="nil"/>
            </w:tcBorders>
          </w:tcPr>
          <w:p w:rsidR="000D0641" w:rsidRDefault="000D0641" w:rsidP="00A53B04">
            <w:pPr>
              <w:pStyle w:val="Infotext"/>
            </w:pPr>
          </w:p>
        </w:tc>
        <w:tc>
          <w:tcPr>
            <w:tcW w:w="3890" w:type="dxa"/>
            <w:tcBorders>
              <w:left w:val="nil"/>
              <w:bottom w:val="nil"/>
            </w:tcBorders>
          </w:tcPr>
          <w:p w:rsidR="000D0641" w:rsidRDefault="000D0641" w:rsidP="00A53B04">
            <w:pPr>
              <w:pStyle w:val="Infotext"/>
            </w:pPr>
          </w:p>
          <w:p w:rsidR="000D0641" w:rsidRDefault="000D0641" w:rsidP="00A53B04">
            <w:pPr>
              <w:pStyle w:val="Infotext"/>
            </w:pPr>
            <w:r>
              <w:t>on be</w:t>
            </w:r>
            <w:bookmarkStart w:id="0" w:name="_GoBack"/>
            <w:bookmarkEnd w:id="0"/>
            <w:r>
              <w:t xml:space="preserve">half of the </w:t>
            </w:r>
          </w:p>
        </w:tc>
      </w:tr>
      <w:tr w:rsidR="000D0641">
        <w:tc>
          <w:tcPr>
            <w:tcW w:w="4752" w:type="dxa"/>
            <w:tcBorders>
              <w:top w:val="nil"/>
              <w:bottom w:val="nil"/>
            </w:tcBorders>
          </w:tcPr>
          <w:p w:rsidR="000D0641" w:rsidRDefault="000D0641" w:rsidP="001E35C0">
            <w:pPr>
              <w:pStyle w:val="Infotext"/>
            </w:pPr>
            <w:r>
              <w:t>Name: Steve Tingle</w:t>
            </w:r>
          </w:p>
        </w:tc>
        <w:tc>
          <w:tcPr>
            <w:tcW w:w="387" w:type="dxa"/>
          </w:tcPr>
          <w:p w:rsidR="000D0641" w:rsidRDefault="000D0641" w:rsidP="00A53B04">
            <w:pPr>
              <w:pStyle w:val="Infotext"/>
            </w:pPr>
            <w:r>
              <w:t>x</w:t>
            </w:r>
          </w:p>
        </w:tc>
        <w:tc>
          <w:tcPr>
            <w:tcW w:w="236" w:type="dxa"/>
            <w:tcBorders>
              <w:top w:val="nil"/>
              <w:bottom w:val="nil"/>
              <w:right w:val="nil"/>
            </w:tcBorders>
          </w:tcPr>
          <w:p w:rsidR="000D0641" w:rsidRDefault="000D0641" w:rsidP="00A53B04">
            <w:pPr>
              <w:pStyle w:val="Infotext"/>
            </w:pPr>
          </w:p>
        </w:tc>
        <w:tc>
          <w:tcPr>
            <w:tcW w:w="3890" w:type="dxa"/>
            <w:tcBorders>
              <w:top w:val="nil"/>
              <w:left w:val="nil"/>
              <w:bottom w:val="nil"/>
            </w:tcBorders>
          </w:tcPr>
          <w:p w:rsidR="000D0641" w:rsidRDefault="000D0641" w:rsidP="00A53B04">
            <w:pPr>
              <w:pStyle w:val="Infotext"/>
            </w:pPr>
            <w:r>
              <w:t>Chief Financial Officer</w:t>
            </w:r>
          </w:p>
        </w:tc>
      </w:tr>
      <w:tr w:rsidR="000D0641">
        <w:tc>
          <w:tcPr>
            <w:tcW w:w="4752" w:type="dxa"/>
            <w:tcBorders>
              <w:top w:val="nil"/>
              <w:right w:val="nil"/>
            </w:tcBorders>
          </w:tcPr>
          <w:p w:rsidR="000D0641" w:rsidRDefault="000D0641" w:rsidP="00A53B04">
            <w:pPr>
              <w:pStyle w:val="Infotext"/>
            </w:pPr>
          </w:p>
          <w:p w:rsidR="000D0641" w:rsidRDefault="000D0641" w:rsidP="008806E9">
            <w:pPr>
              <w:pStyle w:val="Infotext"/>
            </w:pPr>
            <w:r>
              <w:t>Date: 5 June 2015</w:t>
            </w:r>
          </w:p>
        </w:tc>
        <w:tc>
          <w:tcPr>
            <w:tcW w:w="387" w:type="dxa"/>
            <w:tcBorders>
              <w:left w:val="nil"/>
              <w:right w:val="nil"/>
            </w:tcBorders>
          </w:tcPr>
          <w:p w:rsidR="000D0641" w:rsidRDefault="000D0641" w:rsidP="00A53B04">
            <w:pPr>
              <w:pStyle w:val="Infotext"/>
            </w:pPr>
          </w:p>
        </w:tc>
        <w:tc>
          <w:tcPr>
            <w:tcW w:w="236" w:type="dxa"/>
            <w:tcBorders>
              <w:top w:val="nil"/>
              <w:left w:val="nil"/>
              <w:right w:val="nil"/>
            </w:tcBorders>
          </w:tcPr>
          <w:p w:rsidR="000D0641" w:rsidRDefault="000D0641" w:rsidP="00A53B04">
            <w:pPr>
              <w:pStyle w:val="Infotext"/>
            </w:pPr>
          </w:p>
        </w:tc>
        <w:tc>
          <w:tcPr>
            <w:tcW w:w="3890" w:type="dxa"/>
            <w:tcBorders>
              <w:top w:val="nil"/>
              <w:left w:val="nil"/>
            </w:tcBorders>
          </w:tcPr>
          <w:p w:rsidR="000D0641" w:rsidRDefault="000D0641" w:rsidP="00A53B04">
            <w:pPr>
              <w:pStyle w:val="Infotext"/>
            </w:pPr>
          </w:p>
        </w:tc>
      </w:tr>
      <w:tr w:rsidR="000D0641">
        <w:tc>
          <w:tcPr>
            <w:tcW w:w="4752" w:type="dxa"/>
            <w:tcBorders>
              <w:bottom w:val="nil"/>
              <w:right w:val="nil"/>
            </w:tcBorders>
          </w:tcPr>
          <w:p w:rsidR="000D0641" w:rsidRDefault="000D0641" w:rsidP="00A53B04">
            <w:pPr>
              <w:pStyle w:val="Infotext"/>
            </w:pPr>
          </w:p>
          <w:p w:rsidR="000D0641" w:rsidRDefault="000D0641" w:rsidP="00A53B04">
            <w:pPr>
              <w:pStyle w:val="Infotext"/>
            </w:pPr>
          </w:p>
        </w:tc>
        <w:tc>
          <w:tcPr>
            <w:tcW w:w="387" w:type="dxa"/>
            <w:tcBorders>
              <w:left w:val="nil"/>
              <w:right w:val="nil"/>
            </w:tcBorders>
          </w:tcPr>
          <w:p w:rsidR="000D0641" w:rsidRDefault="000D0641" w:rsidP="00A53B04">
            <w:pPr>
              <w:pStyle w:val="Infotext"/>
            </w:pPr>
          </w:p>
        </w:tc>
        <w:tc>
          <w:tcPr>
            <w:tcW w:w="236" w:type="dxa"/>
            <w:tcBorders>
              <w:left w:val="nil"/>
              <w:bottom w:val="nil"/>
              <w:right w:val="nil"/>
            </w:tcBorders>
          </w:tcPr>
          <w:p w:rsidR="000D0641" w:rsidRDefault="000D0641" w:rsidP="00A53B04">
            <w:pPr>
              <w:pStyle w:val="Infotext"/>
            </w:pPr>
          </w:p>
        </w:tc>
        <w:tc>
          <w:tcPr>
            <w:tcW w:w="3890" w:type="dxa"/>
            <w:tcBorders>
              <w:left w:val="nil"/>
              <w:bottom w:val="nil"/>
            </w:tcBorders>
          </w:tcPr>
          <w:p w:rsidR="000D0641" w:rsidRDefault="000D0641" w:rsidP="00A53B04">
            <w:pPr>
              <w:pStyle w:val="Infotext"/>
            </w:pPr>
          </w:p>
          <w:p w:rsidR="000D0641" w:rsidRDefault="000D0641" w:rsidP="00A53B04">
            <w:pPr>
              <w:pStyle w:val="Infotext"/>
            </w:pPr>
          </w:p>
        </w:tc>
      </w:tr>
      <w:tr w:rsidR="000D0641">
        <w:tc>
          <w:tcPr>
            <w:tcW w:w="4752" w:type="dxa"/>
            <w:tcBorders>
              <w:top w:val="nil"/>
              <w:bottom w:val="nil"/>
            </w:tcBorders>
          </w:tcPr>
          <w:p w:rsidR="000D0641" w:rsidRDefault="000D0641" w:rsidP="00E9443C">
            <w:pPr>
              <w:pStyle w:val="Infotext"/>
            </w:pPr>
            <w:r>
              <w:t>Name: Hugh Peart</w:t>
            </w:r>
          </w:p>
        </w:tc>
        <w:tc>
          <w:tcPr>
            <w:tcW w:w="387" w:type="dxa"/>
          </w:tcPr>
          <w:p w:rsidR="000D0641" w:rsidRDefault="000D0641" w:rsidP="00A53B04">
            <w:pPr>
              <w:pStyle w:val="Infotext"/>
            </w:pPr>
            <w:r>
              <w:t>x</w:t>
            </w:r>
          </w:p>
        </w:tc>
        <w:tc>
          <w:tcPr>
            <w:tcW w:w="236" w:type="dxa"/>
            <w:tcBorders>
              <w:top w:val="nil"/>
              <w:bottom w:val="nil"/>
              <w:right w:val="nil"/>
            </w:tcBorders>
          </w:tcPr>
          <w:p w:rsidR="000D0641" w:rsidRDefault="000D0641" w:rsidP="00A53B04">
            <w:pPr>
              <w:pStyle w:val="Infotext"/>
            </w:pPr>
          </w:p>
        </w:tc>
        <w:tc>
          <w:tcPr>
            <w:tcW w:w="3890" w:type="dxa"/>
            <w:tcBorders>
              <w:top w:val="nil"/>
              <w:left w:val="nil"/>
              <w:bottom w:val="nil"/>
            </w:tcBorders>
          </w:tcPr>
          <w:p w:rsidR="000D0641" w:rsidRDefault="000D0641" w:rsidP="00A53B04">
            <w:pPr>
              <w:pStyle w:val="Infotext"/>
            </w:pPr>
            <w:r>
              <w:t>Monitoring Officer</w:t>
            </w:r>
          </w:p>
        </w:tc>
      </w:tr>
      <w:tr w:rsidR="000D0641">
        <w:tc>
          <w:tcPr>
            <w:tcW w:w="4752" w:type="dxa"/>
            <w:tcBorders>
              <w:top w:val="nil"/>
              <w:right w:val="nil"/>
            </w:tcBorders>
          </w:tcPr>
          <w:p w:rsidR="000D0641" w:rsidRDefault="000D0641" w:rsidP="00A53B04">
            <w:pPr>
              <w:pStyle w:val="Infotext"/>
            </w:pPr>
          </w:p>
          <w:p w:rsidR="000D0641" w:rsidRDefault="000D0641" w:rsidP="008806E9">
            <w:pPr>
              <w:pStyle w:val="Infotext"/>
            </w:pPr>
            <w:r>
              <w:t>Date: 5 June 2015</w:t>
            </w:r>
          </w:p>
        </w:tc>
        <w:tc>
          <w:tcPr>
            <w:tcW w:w="387" w:type="dxa"/>
            <w:tcBorders>
              <w:left w:val="nil"/>
              <w:right w:val="nil"/>
            </w:tcBorders>
          </w:tcPr>
          <w:p w:rsidR="000D0641" w:rsidRDefault="000D0641" w:rsidP="00A53B04">
            <w:pPr>
              <w:pStyle w:val="Infotext"/>
            </w:pPr>
          </w:p>
        </w:tc>
        <w:tc>
          <w:tcPr>
            <w:tcW w:w="236" w:type="dxa"/>
            <w:tcBorders>
              <w:top w:val="nil"/>
              <w:left w:val="nil"/>
              <w:right w:val="nil"/>
            </w:tcBorders>
          </w:tcPr>
          <w:p w:rsidR="000D0641" w:rsidRDefault="000D0641" w:rsidP="00A53B04">
            <w:pPr>
              <w:pStyle w:val="Infotext"/>
            </w:pPr>
          </w:p>
        </w:tc>
        <w:tc>
          <w:tcPr>
            <w:tcW w:w="3890" w:type="dxa"/>
            <w:tcBorders>
              <w:top w:val="nil"/>
              <w:left w:val="nil"/>
            </w:tcBorders>
          </w:tcPr>
          <w:p w:rsidR="000D0641" w:rsidRDefault="000D0641" w:rsidP="00A53B04">
            <w:pPr>
              <w:pStyle w:val="Infotext"/>
            </w:pPr>
          </w:p>
          <w:p w:rsidR="000D0641" w:rsidRDefault="000D0641" w:rsidP="00A53B04">
            <w:pPr>
              <w:pStyle w:val="Infotext"/>
            </w:pPr>
          </w:p>
        </w:tc>
      </w:tr>
    </w:tbl>
    <w:p w:rsidR="000D0641" w:rsidRPr="002548D1" w:rsidRDefault="000D0641" w:rsidP="00333FAA">
      <w:pPr>
        <w:rPr>
          <w:color w:val="FF0000"/>
        </w:rPr>
      </w:pPr>
    </w:p>
    <w:p w:rsidR="000D0641" w:rsidRDefault="000D0641" w:rsidP="00333FAA"/>
    <w:p w:rsidR="000D0641" w:rsidRDefault="000D0641" w:rsidP="00333FAA"/>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8"/>
        <w:gridCol w:w="3367"/>
      </w:tblGrid>
      <w:tr w:rsidR="000D0641">
        <w:trPr>
          <w:trHeight w:val="965"/>
        </w:trPr>
        <w:tc>
          <w:tcPr>
            <w:tcW w:w="3025" w:type="pct"/>
            <w:tcBorders>
              <w:right w:val="nil"/>
            </w:tcBorders>
          </w:tcPr>
          <w:p w:rsidR="000D0641" w:rsidRDefault="000D0641" w:rsidP="00A53B04">
            <w:pPr>
              <w:pStyle w:val="Infotext"/>
              <w:rPr>
                <w:rFonts w:ascii="Arial Black" w:hAnsi="Arial Black" w:cs="Arial Black"/>
              </w:rPr>
            </w:pPr>
          </w:p>
          <w:p w:rsidR="000D0641" w:rsidRDefault="000D0641" w:rsidP="00A53B04">
            <w:pPr>
              <w:pStyle w:val="Infotext"/>
              <w:rPr>
                <w:rFonts w:ascii="Arial Black" w:hAnsi="Arial Black" w:cs="Arial Black"/>
              </w:rPr>
            </w:pPr>
            <w:r>
              <w:rPr>
                <w:rFonts w:ascii="Arial Black" w:hAnsi="Arial Black" w:cs="Arial Black"/>
              </w:rPr>
              <w:t>Ward Councillors notified:</w:t>
            </w:r>
          </w:p>
          <w:p w:rsidR="000D0641" w:rsidRPr="00BD2E91" w:rsidRDefault="000D0641" w:rsidP="00A53B04">
            <w:pPr>
              <w:pStyle w:val="Infotext"/>
              <w:rPr>
                <w:color w:val="FF0000"/>
              </w:rPr>
            </w:pPr>
          </w:p>
        </w:tc>
        <w:tc>
          <w:tcPr>
            <w:tcW w:w="1975" w:type="pct"/>
            <w:tcBorders>
              <w:left w:val="nil"/>
            </w:tcBorders>
          </w:tcPr>
          <w:p w:rsidR="000D0641" w:rsidRDefault="000D0641" w:rsidP="00A53B04">
            <w:pPr>
              <w:pStyle w:val="Infotext"/>
            </w:pPr>
          </w:p>
          <w:p w:rsidR="000D0641" w:rsidRPr="003D78F6" w:rsidRDefault="000D0641" w:rsidP="00C224EF">
            <w:pPr>
              <w:pStyle w:val="Infotext"/>
              <w:spacing w:before="120"/>
              <w:rPr>
                <w:i/>
                <w:iCs/>
                <w:sz w:val="24"/>
                <w:szCs w:val="24"/>
              </w:rPr>
            </w:pPr>
            <w:r w:rsidRPr="00A406F3">
              <w:rPr>
                <w:b/>
                <w:bCs/>
              </w:rPr>
              <w:t>NO</w:t>
            </w:r>
          </w:p>
        </w:tc>
      </w:tr>
      <w:tr w:rsidR="000D0641" w:rsidRPr="00303FD6">
        <w:trPr>
          <w:trHeight w:val="965"/>
        </w:trPr>
        <w:tc>
          <w:tcPr>
            <w:tcW w:w="3025" w:type="pct"/>
            <w:tcBorders>
              <w:right w:val="nil"/>
            </w:tcBorders>
          </w:tcPr>
          <w:p w:rsidR="000D0641" w:rsidRDefault="000D0641" w:rsidP="00A53B04">
            <w:pPr>
              <w:pStyle w:val="Infotext"/>
              <w:rPr>
                <w:rFonts w:ascii="Arial Black" w:hAnsi="Arial Black" w:cs="Arial Black"/>
                <w:color w:val="FF0000"/>
              </w:rPr>
            </w:pPr>
          </w:p>
          <w:p w:rsidR="000D0641" w:rsidRPr="00202D79" w:rsidRDefault="000D0641" w:rsidP="00A53B04">
            <w:pPr>
              <w:pStyle w:val="Infotext"/>
              <w:rPr>
                <w:rFonts w:ascii="Arial Black" w:hAnsi="Arial Black" w:cs="Arial Black"/>
              </w:rPr>
            </w:pPr>
            <w:r w:rsidRPr="00202D79">
              <w:rPr>
                <w:rFonts w:ascii="Arial Black" w:hAnsi="Arial Black" w:cs="Arial Black"/>
              </w:rPr>
              <w:t>EqIA carried out:</w:t>
            </w:r>
          </w:p>
          <w:p w:rsidR="000D0641" w:rsidRPr="00202D79" w:rsidRDefault="000D0641" w:rsidP="00A53B04">
            <w:pPr>
              <w:pStyle w:val="Infotext"/>
              <w:rPr>
                <w:rFonts w:ascii="Arial Black" w:hAnsi="Arial Black" w:cs="Arial Black"/>
              </w:rPr>
            </w:pPr>
          </w:p>
          <w:p w:rsidR="000D0641" w:rsidRPr="00303FD6" w:rsidRDefault="000D0641" w:rsidP="00A53B04">
            <w:pPr>
              <w:pStyle w:val="Infotext"/>
              <w:rPr>
                <w:rFonts w:ascii="Arial Black" w:hAnsi="Arial Black" w:cs="Arial Black"/>
                <w:color w:val="FF0000"/>
              </w:rPr>
            </w:pPr>
            <w:r w:rsidRPr="00202D79">
              <w:rPr>
                <w:rFonts w:ascii="Arial Black" w:hAnsi="Arial Black" w:cs="Arial Black"/>
              </w:rPr>
              <w:t>EqIA cleared by:</w:t>
            </w:r>
          </w:p>
        </w:tc>
        <w:tc>
          <w:tcPr>
            <w:tcW w:w="1975" w:type="pct"/>
            <w:tcBorders>
              <w:left w:val="nil"/>
            </w:tcBorders>
          </w:tcPr>
          <w:p w:rsidR="000D0641" w:rsidRDefault="000D0641" w:rsidP="00A53B04">
            <w:pPr>
              <w:pStyle w:val="Infotext"/>
              <w:rPr>
                <w:b/>
                <w:bCs/>
                <w:color w:val="FF0000"/>
              </w:rPr>
            </w:pPr>
          </w:p>
          <w:p w:rsidR="000D0641" w:rsidRDefault="000D0641" w:rsidP="00333FAA">
            <w:pPr>
              <w:pStyle w:val="Infotext"/>
              <w:rPr>
                <w:i/>
                <w:iCs/>
                <w:sz w:val="24"/>
                <w:szCs w:val="24"/>
              </w:rPr>
            </w:pPr>
            <w:r w:rsidRPr="00202D79">
              <w:rPr>
                <w:b/>
                <w:bCs/>
              </w:rPr>
              <w:t>YES</w:t>
            </w:r>
          </w:p>
          <w:p w:rsidR="000D0641" w:rsidRPr="00303FD6" w:rsidRDefault="000D0641" w:rsidP="00A53B04">
            <w:pPr>
              <w:pStyle w:val="Infotext"/>
              <w:rPr>
                <w:b/>
                <w:bCs/>
                <w:color w:val="FF0000"/>
              </w:rPr>
            </w:pPr>
          </w:p>
          <w:p w:rsidR="000D0641" w:rsidRDefault="000D0641" w:rsidP="00D20BF1">
            <w:pPr>
              <w:pStyle w:val="Infotext"/>
              <w:rPr>
                <w:color w:val="FF0000"/>
              </w:rPr>
            </w:pPr>
          </w:p>
          <w:p w:rsidR="000D0641" w:rsidRPr="00D20BF1" w:rsidRDefault="000D0641" w:rsidP="00D20BF1">
            <w:pPr>
              <w:pStyle w:val="Infotext"/>
            </w:pPr>
            <w:r w:rsidRPr="00D20BF1">
              <w:t>Alex Dewsnap</w:t>
            </w:r>
            <w:r>
              <w:t>, Chair DETG</w:t>
            </w:r>
          </w:p>
        </w:tc>
      </w:tr>
    </w:tbl>
    <w:p w:rsidR="000D0641" w:rsidRDefault="000D0641" w:rsidP="00333FAA"/>
    <w:p w:rsidR="000D0641" w:rsidRDefault="000D0641" w:rsidP="00333FAA">
      <w:pPr>
        <w:pStyle w:val="Heading1"/>
        <w:keepNext/>
      </w:pPr>
    </w:p>
    <w:p w:rsidR="000D0641" w:rsidRDefault="000D0641" w:rsidP="00333FAA">
      <w:pPr>
        <w:pStyle w:val="Heading1"/>
        <w:keepNext/>
      </w:pPr>
      <w:r>
        <w:t>Section 4 - Contact Details and Background Papers</w:t>
      </w:r>
    </w:p>
    <w:p w:rsidR="000D0641" w:rsidRDefault="000D0641" w:rsidP="00333FAA">
      <w:pPr>
        <w:keepNext/>
      </w:pPr>
    </w:p>
    <w:p w:rsidR="000D0641" w:rsidRDefault="000D0641" w:rsidP="00333FAA">
      <w:pPr>
        <w:keepNext/>
      </w:pPr>
    </w:p>
    <w:p w:rsidR="000D0641" w:rsidRDefault="000D0641" w:rsidP="00265FFF">
      <w:pPr>
        <w:pStyle w:val="Infotext"/>
      </w:pPr>
      <w:r w:rsidRPr="004E47FC">
        <w:rPr>
          <w:b/>
          <w:bCs/>
        </w:rPr>
        <w:t xml:space="preserve">Contact:  </w:t>
      </w:r>
      <w:r>
        <w:rPr>
          <w:b/>
          <w:bCs/>
        </w:rPr>
        <w:tab/>
      </w:r>
      <w:r>
        <w:rPr>
          <w:sz w:val="24"/>
          <w:szCs w:val="24"/>
        </w:rPr>
        <w:t xml:space="preserve">Terry Brewer, </w:t>
      </w:r>
      <w:r w:rsidRPr="00D17D06">
        <w:rPr>
          <w:sz w:val="24"/>
          <w:szCs w:val="24"/>
        </w:rPr>
        <w:t>Divisional Director Commercial, Procurement and Contracts</w:t>
      </w:r>
    </w:p>
    <w:p w:rsidR="000D0641" w:rsidRDefault="000D0641" w:rsidP="00265FFF">
      <w:pPr>
        <w:pStyle w:val="Infotext"/>
        <w:rPr>
          <w:sz w:val="24"/>
          <w:szCs w:val="24"/>
        </w:rPr>
      </w:pPr>
      <w:r>
        <w:tab/>
      </w:r>
      <w:r>
        <w:tab/>
      </w:r>
      <w:hyperlink r:id="rId10" w:history="1">
        <w:r w:rsidRPr="00265FFF">
          <w:rPr>
            <w:rStyle w:val="Hyperlink"/>
            <w:rFonts w:cs="Arial"/>
            <w:sz w:val="24"/>
            <w:szCs w:val="24"/>
          </w:rPr>
          <w:t>t</w:t>
        </w:r>
        <w:r w:rsidRPr="007339E1">
          <w:rPr>
            <w:rStyle w:val="Hyperlink"/>
            <w:rFonts w:cs="Arial"/>
            <w:sz w:val="24"/>
            <w:szCs w:val="24"/>
          </w:rPr>
          <w:t>erry.brewer@harrow.gov.uk</w:t>
        </w:r>
      </w:hyperlink>
    </w:p>
    <w:p w:rsidR="000D0641" w:rsidRDefault="000D0641" w:rsidP="00265FFF">
      <w:pPr>
        <w:pStyle w:val="Infotext"/>
      </w:pPr>
      <w:r>
        <w:rPr>
          <w:sz w:val="24"/>
          <w:szCs w:val="24"/>
        </w:rPr>
        <w:tab/>
      </w:r>
      <w:r>
        <w:rPr>
          <w:sz w:val="24"/>
          <w:szCs w:val="24"/>
        </w:rPr>
        <w:tab/>
        <w:t>Tel: 020 8424 8442</w:t>
      </w:r>
    </w:p>
    <w:p w:rsidR="000D0641" w:rsidRPr="005808FB" w:rsidRDefault="000D0641" w:rsidP="00333FAA">
      <w:pPr>
        <w:pStyle w:val="Infotext"/>
        <w:rPr>
          <w:color w:val="FF0000"/>
        </w:rPr>
      </w:pPr>
    </w:p>
    <w:p w:rsidR="000D0641" w:rsidRDefault="000D0641" w:rsidP="00333FAA"/>
    <w:p w:rsidR="000D0641" w:rsidRPr="007C1E3C" w:rsidRDefault="000D0641" w:rsidP="00333FAA">
      <w:pPr>
        <w:pStyle w:val="Infotext"/>
      </w:pPr>
      <w:r w:rsidRPr="004E47FC">
        <w:rPr>
          <w:b/>
          <w:bCs/>
        </w:rPr>
        <w:t xml:space="preserve">Background Papers: </w:t>
      </w:r>
      <w:r w:rsidRPr="00D20BF1">
        <w:rPr>
          <w:sz w:val="24"/>
          <w:szCs w:val="24"/>
        </w:rPr>
        <w:t>Commercialisation Strategy 2015-2018</w:t>
      </w:r>
      <w:r>
        <w:rPr>
          <w:sz w:val="24"/>
          <w:szCs w:val="24"/>
        </w:rPr>
        <w:t xml:space="preserve"> (as per the enclosure)</w:t>
      </w:r>
    </w:p>
    <w:p w:rsidR="000D0641" w:rsidRDefault="000D0641" w:rsidP="00333FAA">
      <w:pPr>
        <w:pStyle w:val="Infotext"/>
        <w:rPr>
          <w:b/>
          <w:bCs/>
        </w:rPr>
      </w:pPr>
    </w:p>
    <w:p w:rsidR="000D0641" w:rsidRDefault="000D0641" w:rsidP="00333FAA">
      <w:pPr>
        <w:pStyle w:val="Infotext"/>
        <w:rPr>
          <w:b/>
          <w:bCs/>
        </w:rPr>
      </w:pPr>
    </w:p>
    <w:p w:rsidR="000D0641" w:rsidRDefault="000D0641" w:rsidP="00333FAA">
      <w:pPr>
        <w:pStyle w:val="Infotext"/>
        <w:rPr>
          <w:b/>
          <w:bCs/>
        </w:rPr>
      </w:pPr>
    </w:p>
    <w:p w:rsidR="000D0641" w:rsidRDefault="000D0641" w:rsidP="00333FAA">
      <w:pPr>
        <w:pStyle w:val="Infotext"/>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8"/>
        <w:gridCol w:w="547"/>
        <w:gridCol w:w="4210"/>
      </w:tblGrid>
      <w:tr w:rsidR="000D0641">
        <w:trPr>
          <w:trHeight w:val="965"/>
        </w:trPr>
        <w:tc>
          <w:tcPr>
            <w:tcW w:w="2210" w:type="pct"/>
            <w:tcBorders>
              <w:right w:val="nil"/>
            </w:tcBorders>
          </w:tcPr>
          <w:p w:rsidR="000D0641" w:rsidRDefault="000D0641" w:rsidP="00A53B04">
            <w:pPr>
              <w:pStyle w:val="Infotext"/>
            </w:pPr>
          </w:p>
          <w:p w:rsidR="000D0641" w:rsidRPr="007C0DC3" w:rsidRDefault="000D0641" w:rsidP="00A53B04">
            <w:pPr>
              <w:pStyle w:val="Infotext"/>
              <w:rPr>
                <w:rFonts w:ascii="Arial Black" w:hAnsi="Arial Black" w:cs="Arial Black"/>
              </w:rPr>
            </w:pPr>
            <w:r w:rsidRPr="007C0DC3">
              <w:rPr>
                <w:rFonts w:ascii="Arial Black" w:hAnsi="Arial Black" w:cs="Arial Black"/>
              </w:rPr>
              <w:t>Call-In Waived by the Chairman of Overview and Scrutiny Committee</w:t>
            </w:r>
          </w:p>
          <w:p w:rsidR="000D0641" w:rsidRDefault="000D0641" w:rsidP="00A53B04">
            <w:pPr>
              <w:pStyle w:val="Infotext"/>
            </w:pPr>
          </w:p>
          <w:p w:rsidR="000D0641" w:rsidRDefault="000D0641" w:rsidP="00D20BF1">
            <w:pPr>
              <w:pStyle w:val="Infotext"/>
            </w:pPr>
          </w:p>
        </w:tc>
        <w:tc>
          <w:tcPr>
            <w:tcW w:w="321" w:type="pct"/>
            <w:tcBorders>
              <w:left w:val="nil"/>
              <w:right w:val="nil"/>
            </w:tcBorders>
          </w:tcPr>
          <w:p w:rsidR="000D0641" w:rsidRDefault="000D0641" w:rsidP="00A53B04">
            <w:pPr>
              <w:pStyle w:val="Infotext"/>
            </w:pPr>
          </w:p>
        </w:tc>
        <w:tc>
          <w:tcPr>
            <w:tcW w:w="2469" w:type="pct"/>
            <w:tcBorders>
              <w:left w:val="nil"/>
            </w:tcBorders>
          </w:tcPr>
          <w:p w:rsidR="000D0641" w:rsidRDefault="000D0641" w:rsidP="00A53B04">
            <w:pPr>
              <w:pStyle w:val="Infotext"/>
            </w:pPr>
          </w:p>
          <w:p w:rsidR="000D0641" w:rsidRDefault="000D0641" w:rsidP="00A53B04">
            <w:pPr>
              <w:pStyle w:val="Infotext"/>
            </w:pPr>
            <w:r w:rsidRPr="003D78F6">
              <w:rPr>
                <w:b/>
                <w:bCs/>
              </w:rPr>
              <w:t>NOT APPLICABLE</w:t>
            </w:r>
          </w:p>
          <w:p w:rsidR="000D0641" w:rsidRDefault="000D0641" w:rsidP="00A53B04">
            <w:pPr>
              <w:pStyle w:val="Infotext"/>
            </w:pPr>
          </w:p>
          <w:p w:rsidR="000D0641" w:rsidRPr="00D20BF1" w:rsidRDefault="000D0641" w:rsidP="00A53B04">
            <w:pPr>
              <w:pStyle w:val="Infotext"/>
              <w:rPr>
                <w:i/>
                <w:iCs/>
              </w:rPr>
            </w:pPr>
            <w:r w:rsidRPr="00D20BF1">
              <w:rPr>
                <w:i/>
                <w:iCs/>
              </w:rPr>
              <w:t>[Call-in applies]</w:t>
            </w:r>
          </w:p>
          <w:p w:rsidR="000D0641" w:rsidRDefault="000D0641" w:rsidP="00A53B04">
            <w:pPr>
              <w:pStyle w:val="Infotext"/>
            </w:pPr>
          </w:p>
          <w:p w:rsidR="000D0641" w:rsidRDefault="000D0641" w:rsidP="00A53B04">
            <w:pPr>
              <w:pStyle w:val="Infotext"/>
            </w:pPr>
          </w:p>
          <w:p w:rsidR="000D0641" w:rsidRDefault="000D0641" w:rsidP="00A53B04">
            <w:pPr>
              <w:pStyle w:val="Infotext"/>
            </w:pPr>
          </w:p>
          <w:p w:rsidR="000D0641" w:rsidRPr="003D78F6" w:rsidRDefault="000D0641" w:rsidP="00A53B04">
            <w:pPr>
              <w:pStyle w:val="Infotext"/>
              <w:ind w:left="173"/>
              <w:rPr>
                <w:i/>
                <w:iCs/>
                <w:sz w:val="24"/>
                <w:szCs w:val="24"/>
              </w:rPr>
            </w:pPr>
          </w:p>
        </w:tc>
      </w:tr>
    </w:tbl>
    <w:p w:rsidR="000D0641" w:rsidRPr="00DE71D3" w:rsidRDefault="000D0641" w:rsidP="004235E3"/>
    <w:sectPr w:rsidR="000D0641" w:rsidRPr="00DE71D3" w:rsidSect="001E3C06">
      <w:headerReference w:type="default" r:id="rId11"/>
      <w:headerReference w:type="first" r:id="rId12"/>
      <w:footerReference w:type="first" r:id="rId13"/>
      <w:pgSz w:w="11909" w:h="16834" w:code="9"/>
      <w:pgMar w:top="720" w:right="1440" w:bottom="1152"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641" w:rsidRDefault="000D0641">
      <w:r>
        <w:separator/>
      </w:r>
    </w:p>
  </w:endnote>
  <w:endnote w:type="continuationSeparator" w:id="1">
    <w:p w:rsidR="000D0641" w:rsidRDefault="000D06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41" w:rsidRDefault="000D0641" w:rsidP="00A53B04">
    <w:pPr>
      <w:pStyle w:val="Footer"/>
      <w:tabs>
        <w:tab w:val="clear" w:pos="4153"/>
        <w:tab w:val="clear" w:pos="8306"/>
      </w:tabs>
      <w:ind w:right="81"/>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41" w:rsidRDefault="000D0641">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ibbon_black" style="position:absolute;margin-left:-79.5pt;margin-top:10in;width:571.5pt;height:102.85pt;z-index:251660288;visibility:visible;mso-position-vertical-relative:page" o:allowoverlap="f">
          <v:imagedata r:id="rId1" o:title="" cropbottom="15673f"/>
          <w10:wrap type="squar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41" w:rsidRPr="008C69F5" w:rsidRDefault="000D0641" w:rsidP="00A53B04">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641" w:rsidRDefault="000D0641">
      <w:r>
        <w:separator/>
      </w:r>
    </w:p>
  </w:footnote>
  <w:footnote w:type="continuationSeparator" w:id="1">
    <w:p w:rsidR="000D0641" w:rsidRDefault="000D0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41" w:rsidRDefault="000D0641">
    <w:pPr>
      <w:pStyle w:val="Header"/>
    </w:pPr>
  </w:p>
  <w:p w:rsidR="000D0641" w:rsidRDefault="000D06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41" w:rsidRDefault="000D06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41" w:rsidRDefault="000D06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nsid w:val="029302DE"/>
    <w:multiLevelType w:val="hybridMultilevel"/>
    <w:tmpl w:val="65ACD7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2AB165F"/>
    <w:multiLevelType w:val="hybridMultilevel"/>
    <w:tmpl w:val="DB40A302"/>
    <w:lvl w:ilvl="0" w:tplc="04090001">
      <w:start w:val="1"/>
      <w:numFmt w:val="bullet"/>
      <w:lvlText w:val=""/>
      <w:lvlJc w:val="left"/>
      <w:pPr>
        <w:tabs>
          <w:tab w:val="num" w:pos="720"/>
        </w:tabs>
        <w:ind w:left="720" w:hanging="360"/>
      </w:pPr>
      <w:rPr>
        <w:rFonts w:ascii="Symbol" w:hAnsi="Symbol" w:cs="Symbol" w:hint="default"/>
      </w:rPr>
    </w:lvl>
    <w:lvl w:ilvl="1" w:tplc="CCA20D8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44B65BC"/>
    <w:multiLevelType w:val="hybridMultilevel"/>
    <w:tmpl w:val="67E058D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4AF3B1D"/>
    <w:multiLevelType w:val="multilevel"/>
    <w:tmpl w:val="FAFC50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28BD22AF"/>
    <w:multiLevelType w:val="hybridMultilevel"/>
    <w:tmpl w:val="BD389F1C"/>
    <w:lvl w:ilvl="0" w:tplc="1DAEDB42">
      <w:start w:val="1"/>
      <w:numFmt w:val="bullet"/>
      <w:lvlText w:val=""/>
      <w:lvlJc w:val="left"/>
      <w:pPr>
        <w:tabs>
          <w:tab w:val="num" w:pos="720"/>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90142D9"/>
    <w:multiLevelType w:val="hybridMultilevel"/>
    <w:tmpl w:val="9FBA1538"/>
    <w:lvl w:ilvl="0" w:tplc="A240E190">
      <w:start w:val="1"/>
      <w:numFmt w:val="bullet"/>
      <w:lvlText w:val=""/>
      <w:lvlJc w:val="left"/>
      <w:pPr>
        <w:tabs>
          <w:tab w:val="num" w:pos="-31680"/>
        </w:tabs>
        <w:ind w:left="720" w:hanging="72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7">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DA95E8D"/>
    <w:multiLevelType w:val="hybridMultilevel"/>
    <w:tmpl w:val="29282C4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315666A0"/>
    <w:multiLevelType w:val="hybridMultilevel"/>
    <w:tmpl w:val="B0F2CDCC"/>
    <w:lvl w:ilvl="0" w:tplc="04090001">
      <w:start w:val="1"/>
      <w:numFmt w:val="bullet"/>
      <w:lvlText w:val=""/>
      <w:lvlJc w:val="left"/>
      <w:pPr>
        <w:tabs>
          <w:tab w:val="num" w:pos="720"/>
        </w:tabs>
        <w:ind w:left="720" w:hanging="360"/>
      </w:pPr>
      <w:rPr>
        <w:rFonts w:ascii="Symbol" w:hAnsi="Symbol" w:cs="Symbol" w:hint="default"/>
      </w:rPr>
    </w:lvl>
    <w:lvl w:ilvl="1" w:tplc="04322C90">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36848A1"/>
    <w:multiLevelType w:val="hybridMultilevel"/>
    <w:tmpl w:val="0CB83962"/>
    <w:lvl w:ilvl="0" w:tplc="70607A78">
      <w:start w:val="1"/>
      <w:numFmt w:val="bullet"/>
      <w:lvlText w:val=""/>
      <w:lvlJc w:val="left"/>
      <w:pPr>
        <w:tabs>
          <w:tab w:val="num" w:pos="720"/>
        </w:tabs>
        <w:ind w:left="720" w:hanging="72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3E7436A3"/>
    <w:multiLevelType w:val="hybridMultilevel"/>
    <w:tmpl w:val="9612C4A0"/>
    <w:lvl w:ilvl="0" w:tplc="61BA837E">
      <w:start w:val="1"/>
      <w:numFmt w:val="bullet"/>
      <w:lvlText w:val=""/>
      <w:lvlJc w:val="left"/>
      <w:pPr>
        <w:tabs>
          <w:tab w:val="num" w:pos="720"/>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ED0745B"/>
    <w:multiLevelType w:val="hybridMultilevel"/>
    <w:tmpl w:val="551442B2"/>
    <w:lvl w:ilvl="0" w:tplc="08090001">
      <w:start w:val="1"/>
      <w:numFmt w:val="bullet"/>
      <w:lvlText w:val=""/>
      <w:lvlJc w:val="left"/>
      <w:pPr>
        <w:ind w:left="780" w:hanging="360"/>
      </w:pPr>
      <w:rPr>
        <w:rFonts w:ascii="Symbol" w:hAnsi="Symbol" w:cs="Symbol" w:hint="default"/>
        <w:color w:val="auto"/>
      </w:r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14">
    <w:nsid w:val="4086076C"/>
    <w:multiLevelType w:val="hybridMultilevel"/>
    <w:tmpl w:val="CD724460"/>
    <w:lvl w:ilvl="0" w:tplc="04090001">
      <w:start w:val="1"/>
      <w:numFmt w:val="bullet"/>
      <w:lvlText w:val=""/>
      <w:lvlJc w:val="left"/>
      <w:pPr>
        <w:tabs>
          <w:tab w:val="num" w:pos="720"/>
        </w:tabs>
        <w:ind w:left="720" w:hanging="360"/>
      </w:pPr>
      <w:rPr>
        <w:rFonts w:ascii="Symbol" w:hAnsi="Symbol" w:cs="Symbol" w:hint="default"/>
      </w:rPr>
    </w:lvl>
    <w:lvl w:ilvl="1" w:tplc="09123418">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09D1589"/>
    <w:multiLevelType w:val="hybridMultilevel"/>
    <w:tmpl w:val="D688C8DE"/>
    <w:lvl w:ilvl="0" w:tplc="04090001">
      <w:start w:val="1"/>
      <w:numFmt w:val="bullet"/>
      <w:lvlText w:val=""/>
      <w:lvlJc w:val="left"/>
      <w:pPr>
        <w:tabs>
          <w:tab w:val="num" w:pos="720"/>
        </w:tabs>
        <w:ind w:left="720" w:hanging="360"/>
      </w:pPr>
      <w:rPr>
        <w:rFonts w:ascii="Symbol" w:hAnsi="Symbol" w:cs="Symbol" w:hint="default"/>
      </w:rPr>
    </w:lvl>
    <w:lvl w:ilvl="1" w:tplc="5C9A086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2EC6D2E"/>
    <w:multiLevelType w:val="hybridMultilevel"/>
    <w:tmpl w:val="B5AC3D28"/>
    <w:lvl w:ilvl="0" w:tplc="FB745912">
      <w:start w:val="1"/>
      <w:numFmt w:val="bullet"/>
      <w:lvlText w:val=""/>
      <w:lvlJc w:val="left"/>
      <w:pPr>
        <w:tabs>
          <w:tab w:val="num" w:pos="-31680"/>
        </w:tabs>
        <w:ind w:left="720" w:hanging="72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7">
    <w:nsid w:val="572E3C17"/>
    <w:multiLevelType w:val="hybridMultilevel"/>
    <w:tmpl w:val="08E6B1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5A9378B3"/>
    <w:multiLevelType w:val="multilevel"/>
    <w:tmpl w:val="29282C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67920F61"/>
    <w:multiLevelType w:val="hybridMultilevel"/>
    <w:tmpl w:val="75362D52"/>
    <w:lvl w:ilvl="0" w:tplc="04090001">
      <w:start w:val="1"/>
      <w:numFmt w:val="bullet"/>
      <w:lvlText w:val=""/>
      <w:lvlJc w:val="left"/>
      <w:pPr>
        <w:tabs>
          <w:tab w:val="num" w:pos="720"/>
        </w:tabs>
        <w:ind w:left="720" w:hanging="360"/>
      </w:pPr>
      <w:rPr>
        <w:rFonts w:ascii="Symbol" w:hAnsi="Symbol" w:cs="Symbol" w:hint="default"/>
      </w:rPr>
    </w:lvl>
    <w:lvl w:ilvl="1" w:tplc="6C1270D0">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8A95E59"/>
    <w:multiLevelType w:val="hybridMultilevel"/>
    <w:tmpl w:val="B0B22AD2"/>
    <w:lvl w:ilvl="0" w:tplc="39F03D06">
      <w:start w:val="1"/>
      <w:numFmt w:val="bullet"/>
      <w:lvlText w:val=""/>
      <w:lvlJc w:val="left"/>
      <w:pPr>
        <w:tabs>
          <w:tab w:val="num" w:pos="-31680"/>
        </w:tabs>
        <w:ind w:left="720" w:hanging="72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21">
    <w:nsid w:val="70537AF9"/>
    <w:multiLevelType w:val="hybridMultilevel"/>
    <w:tmpl w:val="FAFC50C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nsid w:val="73AC4EDA"/>
    <w:multiLevelType w:val="hybridMultilevel"/>
    <w:tmpl w:val="8012D90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7C953631"/>
    <w:multiLevelType w:val="hybridMultilevel"/>
    <w:tmpl w:val="7C344D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7D533014"/>
    <w:multiLevelType w:val="hybridMultilevel"/>
    <w:tmpl w:val="66622AC6"/>
    <w:lvl w:ilvl="0" w:tplc="04090001">
      <w:start w:val="1"/>
      <w:numFmt w:val="bullet"/>
      <w:lvlText w:val=""/>
      <w:lvlJc w:val="left"/>
      <w:pPr>
        <w:tabs>
          <w:tab w:val="num" w:pos="720"/>
        </w:tabs>
        <w:ind w:left="720" w:hanging="360"/>
      </w:pPr>
      <w:rPr>
        <w:rFonts w:ascii="Symbol" w:hAnsi="Symbol" w:cs="Symbol" w:hint="default"/>
      </w:rPr>
    </w:lvl>
    <w:lvl w:ilvl="1" w:tplc="C5526EF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0"/>
  </w:num>
  <w:num w:numId="3">
    <w:abstractNumId w:val="7"/>
  </w:num>
  <w:num w:numId="4">
    <w:abstractNumId w:val="24"/>
  </w:num>
  <w:num w:numId="5">
    <w:abstractNumId w:val="19"/>
  </w:num>
  <w:num w:numId="6">
    <w:abstractNumId w:val="9"/>
  </w:num>
  <w:num w:numId="7">
    <w:abstractNumId w:val="2"/>
  </w:num>
  <w:num w:numId="8">
    <w:abstractNumId w:val="14"/>
  </w:num>
  <w:num w:numId="9">
    <w:abstractNumId w:val="15"/>
  </w:num>
  <w:num w:numId="10">
    <w:abstractNumId w:val="22"/>
  </w:num>
  <w:num w:numId="11">
    <w:abstractNumId w:val="5"/>
  </w:num>
  <w:num w:numId="12">
    <w:abstractNumId w:val="12"/>
  </w:num>
  <w:num w:numId="13">
    <w:abstractNumId w:val="13"/>
  </w:num>
  <w:num w:numId="14">
    <w:abstractNumId w:val="6"/>
  </w:num>
  <w:num w:numId="15">
    <w:abstractNumId w:val="16"/>
  </w:num>
  <w:num w:numId="16">
    <w:abstractNumId w:val="8"/>
  </w:num>
  <w:num w:numId="17">
    <w:abstractNumId w:val="18"/>
  </w:num>
  <w:num w:numId="18">
    <w:abstractNumId w:val="11"/>
  </w:num>
  <w:num w:numId="19">
    <w:abstractNumId w:val="21"/>
  </w:num>
  <w:num w:numId="20">
    <w:abstractNumId w:val="4"/>
  </w:num>
  <w:num w:numId="21">
    <w:abstractNumId w:val="0"/>
  </w:num>
  <w:num w:numId="22">
    <w:abstractNumId w:val="3"/>
  </w:num>
  <w:num w:numId="23">
    <w:abstractNumId w:val="1"/>
  </w:num>
  <w:num w:numId="24">
    <w:abstractNumId w:val="17"/>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FAA"/>
    <w:rsid w:val="0004029A"/>
    <w:rsid w:val="0006034E"/>
    <w:rsid w:val="00073765"/>
    <w:rsid w:val="000A477E"/>
    <w:rsid w:val="000B788F"/>
    <w:rsid w:val="000D0641"/>
    <w:rsid w:val="000D1D0C"/>
    <w:rsid w:val="000E11D8"/>
    <w:rsid w:val="001161E4"/>
    <w:rsid w:val="00125A26"/>
    <w:rsid w:val="00145585"/>
    <w:rsid w:val="001703C3"/>
    <w:rsid w:val="001840D2"/>
    <w:rsid w:val="001966D7"/>
    <w:rsid w:val="001C4D2E"/>
    <w:rsid w:val="001C7E35"/>
    <w:rsid w:val="001D3860"/>
    <w:rsid w:val="001E35C0"/>
    <w:rsid w:val="001E3C06"/>
    <w:rsid w:val="001F0BE9"/>
    <w:rsid w:val="00202D79"/>
    <w:rsid w:val="00205BE1"/>
    <w:rsid w:val="00205D2F"/>
    <w:rsid w:val="00215E8F"/>
    <w:rsid w:val="002548D1"/>
    <w:rsid w:val="00265FFF"/>
    <w:rsid w:val="0028019B"/>
    <w:rsid w:val="002B54A6"/>
    <w:rsid w:val="002F3EE9"/>
    <w:rsid w:val="00303FD6"/>
    <w:rsid w:val="00333FAA"/>
    <w:rsid w:val="003356B8"/>
    <w:rsid w:val="00336F9C"/>
    <w:rsid w:val="003D78F6"/>
    <w:rsid w:val="00404C3F"/>
    <w:rsid w:val="00416BCE"/>
    <w:rsid w:val="004235E3"/>
    <w:rsid w:val="004363F7"/>
    <w:rsid w:val="00456113"/>
    <w:rsid w:val="00471C1F"/>
    <w:rsid w:val="00471DBE"/>
    <w:rsid w:val="004A2543"/>
    <w:rsid w:val="004D2DA0"/>
    <w:rsid w:val="004E14A4"/>
    <w:rsid w:val="004E47FC"/>
    <w:rsid w:val="004F2021"/>
    <w:rsid w:val="005059E4"/>
    <w:rsid w:val="0052010E"/>
    <w:rsid w:val="0054590F"/>
    <w:rsid w:val="005808FB"/>
    <w:rsid w:val="005A457B"/>
    <w:rsid w:val="005D6EF5"/>
    <w:rsid w:val="005E3A10"/>
    <w:rsid w:val="005E7509"/>
    <w:rsid w:val="00614A65"/>
    <w:rsid w:val="00655044"/>
    <w:rsid w:val="006605C0"/>
    <w:rsid w:val="00696A83"/>
    <w:rsid w:val="006D6A84"/>
    <w:rsid w:val="006F057C"/>
    <w:rsid w:val="00714BEE"/>
    <w:rsid w:val="00721215"/>
    <w:rsid w:val="007339E1"/>
    <w:rsid w:val="007C0DC3"/>
    <w:rsid w:val="007C1E3C"/>
    <w:rsid w:val="007D4DBF"/>
    <w:rsid w:val="007E4732"/>
    <w:rsid w:val="007F004E"/>
    <w:rsid w:val="007F68EE"/>
    <w:rsid w:val="00805B80"/>
    <w:rsid w:val="00807BC6"/>
    <w:rsid w:val="00812901"/>
    <w:rsid w:val="0082451A"/>
    <w:rsid w:val="00826B9A"/>
    <w:rsid w:val="008806E9"/>
    <w:rsid w:val="00893B0C"/>
    <w:rsid w:val="008C69F5"/>
    <w:rsid w:val="009117F2"/>
    <w:rsid w:val="00937489"/>
    <w:rsid w:val="00962A67"/>
    <w:rsid w:val="00990E9C"/>
    <w:rsid w:val="00996CF7"/>
    <w:rsid w:val="009B160B"/>
    <w:rsid w:val="009D3506"/>
    <w:rsid w:val="00A20113"/>
    <w:rsid w:val="00A33185"/>
    <w:rsid w:val="00A406F3"/>
    <w:rsid w:val="00A53B04"/>
    <w:rsid w:val="00A7271A"/>
    <w:rsid w:val="00A876AB"/>
    <w:rsid w:val="00AB795F"/>
    <w:rsid w:val="00B1160D"/>
    <w:rsid w:val="00B23541"/>
    <w:rsid w:val="00B54AFA"/>
    <w:rsid w:val="00B6172A"/>
    <w:rsid w:val="00B804E8"/>
    <w:rsid w:val="00B805DB"/>
    <w:rsid w:val="00BD2E91"/>
    <w:rsid w:val="00C00122"/>
    <w:rsid w:val="00C01A35"/>
    <w:rsid w:val="00C13A5F"/>
    <w:rsid w:val="00C224EF"/>
    <w:rsid w:val="00C33906"/>
    <w:rsid w:val="00C42D60"/>
    <w:rsid w:val="00C57267"/>
    <w:rsid w:val="00C73BE2"/>
    <w:rsid w:val="00CF6932"/>
    <w:rsid w:val="00D10E5B"/>
    <w:rsid w:val="00D13877"/>
    <w:rsid w:val="00D17D06"/>
    <w:rsid w:val="00D20BF1"/>
    <w:rsid w:val="00D378CC"/>
    <w:rsid w:val="00D37F2F"/>
    <w:rsid w:val="00D73441"/>
    <w:rsid w:val="00D835CF"/>
    <w:rsid w:val="00D849B4"/>
    <w:rsid w:val="00DA26FB"/>
    <w:rsid w:val="00DB6C3D"/>
    <w:rsid w:val="00DC5ACF"/>
    <w:rsid w:val="00DE71D3"/>
    <w:rsid w:val="00DE7998"/>
    <w:rsid w:val="00DF08A0"/>
    <w:rsid w:val="00E9443C"/>
    <w:rsid w:val="00EB18E2"/>
    <w:rsid w:val="00EB5E57"/>
    <w:rsid w:val="00EE7A11"/>
    <w:rsid w:val="00F3373C"/>
    <w:rsid w:val="00F5649A"/>
    <w:rsid w:val="00F82342"/>
    <w:rsid w:val="00F91AE4"/>
    <w:rsid w:val="00FB1231"/>
    <w:rsid w:val="00FD6011"/>
    <w:rsid w:val="00FE17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cs="Arial"/>
      <w:sz w:val="24"/>
      <w:szCs w:val="24"/>
      <w:lang w:val="en-GB"/>
    </w:rPr>
  </w:style>
  <w:style w:type="paragraph" w:styleId="Heading1">
    <w:name w:val="heading 1"/>
    <w:basedOn w:val="Heading2"/>
    <w:next w:val="Normal"/>
    <w:link w:val="Heading1Char"/>
    <w:uiPriority w:val="99"/>
    <w:qFormat/>
    <w:rsid w:val="00333FAA"/>
    <w:pPr>
      <w:outlineLvl w:val="0"/>
    </w:pPr>
    <w:rPr>
      <w:rFonts w:ascii="Arial Black" w:hAnsi="Arial Black" w:cs="Arial Black"/>
      <w:b w:val="0"/>
      <w:bCs w:val="0"/>
      <w:sz w:val="32"/>
      <w:szCs w:val="32"/>
    </w:rPr>
  </w:style>
  <w:style w:type="paragraph" w:styleId="Heading2">
    <w:name w:val="heading 2"/>
    <w:basedOn w:val="Normal"/>
    <w:next w:val="Normal"/>
    <w:link w:val="Heading2Char"/>
    <w:uiPriority w:val="99"/>
    <w:qFormat/>
    <w:rsid w:val="00333FAA"/>
    <w:pPr>
      <w:outlineLvl w:val="1"/>
    </w:pPr>
    <w:rPr>
      <w:b/>
      <w:bCs/>
      <w:sz w:val="28"/>
      <w:szCs w:val="28"/>
    </w:rPr>
  </w:style>
  <w:style w:type="paragraph" w:styleId="Heading3">
    <w:name w:val="heading 3"/>
    <w:basedOn w:val="Normal"/>
    <w:next w:val="Normal"/>
    <w:link w:val="Heading3Char"/>
    <w:uiPriority w:val="99"/>
    <w:qFormat/>
    <w:rsid w:val="00333FAA"/>
    <w:pPr>
      <w:ind w:left="720" w:hanging="720"/>
      <w:jc w:val="both"/>
      <w:outlineLvl w:val="2"/>
    </w:pPr>
    <w:rPr>
      <w:b/>
      <w:bCs/>
      <w:i/>
      <w:iCs/>
    </w:rPr>
  </w:style>
  <w:style w:type="paragraph" w:styleId="Heading4">
    <w:name w:val="heading 4"/>
    <w:basedOn w:val="Normal"/>
    <w:next w:val="Normal"/>
    <w:link w:val="Heading4Char"/>
    <w:uiPriority w:val="99"/>
    <w:qFormat/>
    <w:rsid w:val="00333FAA"/>
    <w:pPr>
      <w:keepNext/>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834"/>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166834"/>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166834"/>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166834"/>
    <w:rPr>
      <w:rFonts w:asciiTheme="minorHAnsi" w:eastAsiaTheme="minorEastAsia" w:hAnsiTheme="minorHAnsi" w:cstheme="minorBidi"/>
      <w:b/>
      <w:bCs/>
      <w:sz w:val="28"/>
      <w:szCs w:val="28"/>
      <w:lang w:val="en-GB"/>
    </w:rPr>
  </w:style>
  <w:style w:type="paragraph" w:styleId="Footer">
    <w:name w:val="footer"/>
    <w:basedOn w:val="Normal"/>
    <w:link w:val="FooterChar"/>
    <w:uiPriority w:val="99"/>
    <w:rsid w:val="00333FAA"/>
    <w:pPr>
      <w:tabs>
        <w:tab w:val="center" w:pos="4153"/>
        <w:tab w:val="right" w:pos="8306"/>
      </w:tabs>
    </w:pPr>
    <w:rPr>
      <w:lang w:val="en-US"/>
    </w:rPr>
  </w:style>
  <w:style w:type="character" w:customStyle="1" w:styleId="FooterChar">
    <w:name w:val="Footer Char"/>
    <w:basedOn w:val="DefaultParagraphFont"/>
    <w:link w:val="Footer"/>
    <w:uiPriority w:val="99"/>
    <w:semiHidden/>
    <w:rsid w:val="00166834"/>
    <w:rPr>
      <w:rFonts w:ascii="Arial" w:hAnsi="Arial" w:cs="Arial"/>
      <w:sz w:val="24"/>
      <w:szCs w:val="24"/>
      <w:lang w:val="en-GB"/>
    </w:rPr>
  </w:style>
  <w:style w:type="paragraph" w:customStyle="1" w:styleId="Infotext">
    <w:name w:val="Info text"/>
    <w:basedOn w:val="Normal"/>
    <w:uiPriority w:val="99"/>
    <w:rsid w:val="00333FAA"/>
    <w:rPr>
      <w:sz w:val="28"/>
      <w:szCs w:val="28"/>
    </w:rPr>
  </w:style>
  <w:style w:type="paragraph" w:styleId="Header">
    <w:name w:val="header"/>
    <w:basedOn w:val="Normal"/>
    <w:link w:val="HeaderChar"/>
    <w:uiPriority w:val="99"/>
    <w:rsid w:val="00333FAA"/>
    <w:pPr>
      <w:tabs>
        <w:tab w:val="center" w:pos="4153"/>
        <w:tab w:val="right" w:pos="8306"/>
      </w:tabs>
    </w:pPr>
  </w:style>
  <w:style w:type="character" w:customStyle="1" w:styleId="HeaderChar">
    <w:name w:val="Header Char"/>
    <w:basedOn w:val="DefaultParagraphFont"/>
    <w:link w:val="Header"/>
    <w:uiPriority w:val="99"/>
    <w:semiHidden/>
    <w:rsid w:val="00166834"/>
    <w:rPr>
      <w:rFonts w:ascii="Arial" w:hAnsi="Arial" w:cs="Arial"/>
      <w:sz w:val="24"/>
      <w:szCs w:val="24"/>
      <w:lang w:val="en-GB"/>
    </w:rPr>
  </w:style>
  <w:style w:type="paragraph" w:styleId="FootnoteText">
    <w:name w:val="footnote text"/>
    <w:basedOn w:val="Normal"/>
    <w:link w:val="FootnoteTextChar"/>
    <w:uiPriority w:val="99"/>
    <w:semiHidden/>
    <w:rsid w:val="00812901"/>
    <w:rPr>
      <w:rFonts w:cs="Times New Roman"/>
      <w:sz w:val="20"/>
      <w:szCs w:val="20"/>
    </w:rPr>
  </w:style>
  <w:style w:type="character" w:customStyle="1" w:styleId="FootnoteTextChar">
    <w:name w:val="Footnote Text Char"/>
    <w:basedOn w:val="DefaultParagraphFont"/>
    <w:link w:val="FootnoteText"/>
    <w:uiPriority w:val="99"/>
    <w:semiHidden/>
    <w:rsid w:val="00166834"/>
    <w:rPr>
      <w:rFonts w:ascii="Arial" w:hAnsi="Arial" w:cs="Arial"/>
      <w:sz w:val="20"/>
      <w:szCs w:val="20"/>
      <w:lang w:val="en-GB"/>
    </w:rPr>
  </w:style>
  <w:style w:type="paragraph" w:styleId="NormalWeb">
    <w:name w:val="Normal (Web)"/>
    <w:basedOn w:val="Normal"/>
    <w:uiPriority w:val="99"/>
    <w:semiHidden/>
    <w:rsid w:val="00333FAA"/>
    <w:pPr>
      <w:spacing w:before="100" w:beforeAutospacing="1" w:after="300"/>
    </w:pPr>
    <w:rPr>
      <w:rFonts w:cs="Times New Roman"/>
      <w:lang w:val="en-US"/>
    </w:rPr>
  </w:style>
  <w:style w:type="character" w:styleId="Strong">
    <w:name w:val="Strong"/>
    <w:basedOn w:val="DefaultParagraphFont"/>
    <w:uiPriority w:val="99"/>
    <w:qFormat/>
    <w:rsid w:val="00333FAA"/>
    <w:rPr>
      <w:rFonts w:cs="Times New Roman"/>
      <w:b/>
      <w:bCs/>
    </w:rPr>
  </w:style>
  <w:style w:type="character" w:styleId="PageNumber">
    <w:name w:val="page number"/>
    <w:basedOn w:val="DefaultParagraphFont"/>
    <w:uiPriority w:val="99"/>
    <w:rsid w:val="00333FAA"/>
    <w:rPr>
      <w:rFonts w:cs="Times New Roman"/>
    </w:rPr>
  </w:style>
  <w:style w:type="paragraph" w:styleId="BodyText">
    <w:name w:val="Body Text"/>
    <w:basedOn w:val="Normal"/>
    <w:link w:val="BodyTextChar"/>
    <w:uiPriority w:val="99"/>
    <w:rsid w:val="001C7E35"/>
    <w:rPr>
      <w:i/>
      <w:iCs/>
    </w:rPr>
  </w:style>
  <w:style w:type="character" w:customStyle="1" w:styleId="BodyTextChar">
    <w:name w:val="Body Text Char"/>
    <w:basedOn w:val="DefaultParagraphFont"/>
    <w:link w:val="BodyText"/>
    <w:uiPriority w:val="99"/>
    <w:semiHidden/>
    <w:rsid w:val="00166834"/>
    <w:rPr>
      <w:rFonts w:ascii="Arial" w:hAnsi="Arial" w:cs="Arial"/>
      <w:sz w:val="24"/>
      <w:szCs w:val="24"/>
      <w:lang w:val="en-GB"/>
    </w:rPr>
  </w:style>
  <w:style w:type="character" w:styleId="FootnoteReference">
    <w:name w:val="footnote reference"/>
    <w:basedOn w:val="DefaultParagraphFont"/>
    <w:uiPriority w:val="99"/>
    <w:semiHidden/>
    <w:rsid w:val="001C7E35"/>
    <w:rPr>
      <w:rFonts w:cs="Times New Roman"/>
      <w:vertAlign w:val="superscript"/>
    </w:rPr>
  </w:style>
  <w:style w:type="character" w:styleId="Hyperlink">
    <w:name w:val="Hyperlink"/>
    <w:basedOn w:val="DefaultParagraphFont"/>
    <w:uiPriority w:val="99"/>
    <w:rsid w:val="001C7E35"/>
    <w:rPr>
      <w:rFonts w:cs="Times New Roman"/>
      <w:color w:val="0000FF"/>
      <w:u w:val="single"/>
    </w:rPr>
  </w:style>
  <w:style w:type="table" w:styleId="TableGrid">
    <w:name w:val="Table Grid"/>
    <w:basedOn w:val="TableNormal"/>
    <w:uiPriority w:val="99"/>
    <w:rsid w:val="001966D7"/>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uiPriority w:val="99"/>
    <w:locked/>
    <w:rsid w:val="00812901"/>
    <w:pPr>
      <w:spacing w:after="160" w:line="240" w:lineRule="exact"/>
    </w:pPr>
    <w:rPr>
      <w:rFonts w:ascii="Verdana" w:hAnsi="Verdana" w:cs="Verdana"/>
      <w:sz w:val="20"/>
      <w:szCs w:val="20"/>
      <w:lang w:val="en-US"/>
    </w:rPr>
  </w:style>
  <w:style w:type="paragraph" w:customStyle="1" w:styleId="Normal2">
    <w:name w:val="Normal2"/>
    <w:uiPriority w:val="99"/>
    <w:rsid w:val="00812901"/>
    <w:rPr>
      <w:rFonts w:ascii="Arial" w:hAnsi="Arial" w:cs="Arial"/>
    </w:rPr>
  </w:style>
  <w:style w:type="paragraph" w:customStyle="1" w:styleId="CharCharCharCharCharCharCharChar">
    <w:name w:val="Char Char Char Char Char Char Char Char"/>
    <w:basedOn w:val="Normal"/>
    <w:uiPriority w:val="99"/>
    <w:rsid w:val="00DA26FB"/>
    <w:pPr>
      <w:spacing w:after="160" w:line="240" w:lineRule="exact"/>
    </w:pPr>
    <w:rPr>
      <w:rFonts w:ascii="Tahoma" w:hAnsi="Tahoma" w:cs="Tahoma"/>
      <w:sz w:val="20"/>
      <w:szCs w:val="20"/>
      <w:lang w:eastAsia="en-GB"/>
    </w:rPr>
  </w:style>
  <w:style w:type="paragraph" w:customStyle="1" w:styleId="msolistparagraph0">
    <w:name w:val="msolistparagraph"/>
    <w:basedOn w:val="Normal"/>
    <w:uiPriority w:val="99"/>
    <w:rsid w:val="00456113"/>
    <w:pPr>
      <w:ind w:left="720"/>
    </w:pPr>
    <w:rPr>
      <w:rFonts w:ascii="Calibri" w:hAnsi="Calibri" w:cs="Calibri"/>
      <w:sz w:val="22"/>
      <w:szCs w:val="22"/>
      <w:lang w:val="en-US"/>
    </w:rPr>
  </w:style>
  <w:style w:type="paragraph" w:styleId="ListParagraph">
    <w:name w:val="List Paragraph"/>
    <w:basedOn w:val="Normal"/>
    <w:uiPriority w:val="99"/>
    <w:qFormat/>
    <w:rsid w:val="00416BCE"/>
    <w:pPr>
      <w:ind w:left="720"/>
    </w:pPr>
  </w:style>
  <w:style w:type="paragraph" w:styleId="BalloonText">
    <w:name w:val="Balloon Text"/>
    <w:basedOn w:val="Normal"/>
    <w:link w:val="BalloonTextChar"/>
    <w:uiPriority w:val="99"/>
    <w:semiHidden/>
    <w:rsid w:val="00B6172A"/>
    <w:rPr>
      <w:rFonts w:ascii="Tahoma" w:hAnsi="Tahoma" w:cs="Tahoma"/>
      <w:sz w:val="16"/>
      <w:szCs w:val="16"/>
    </w:rPr>
  </w:style>
  <w:style w:type="character" w:customStyle="1" w:styleId="BalloonTextChar">
    <w:name w:val="Balloon Text Char"/>
    <w:basedOn w:val="DefaultParagraphFont"/>
    <w:link w:val="BalloonText"/>
    <w:uiPriority w:val="99"/>
    <w:locked/>
    <w:rsid w:val="00B6172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32717606">
      <w:marLeft w:val="0"/>
      <w:marRight w:val="0"/>
      <w:marTop w:val="0"/>
      <w:marBottom w:val="0"/>
      <w:divBdr>
        <w:top w:val="none" w:sz="0" w:space="0" w:color="auto"/>
        <w:left w:val="none" w:sz="0" w:space="0" w:color="auto"/>
        <w:bottom w:val="none" w:sz="0" w:space="0" w:color="auto"/>
        <w:right w:val="none" w:sz="0" w:space="0" w:color="auto"/>
      </w:divBdr>
    </w:div>
    <w:div w:id="1532717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erry.brewer@harrow.gov.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Pages>
  <Words>1159</Words>
  <Characters>6609</Characters>
  <Application>Microsoft Office Outlook</Application>
  <DocSecurity>0</DocSecurity>
  <Lines>0</Lines>
  <Paragraphs>0</Paragraphs>
  <ScaleCrop>false</ScaleCrop>
  <Company>Harrow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subject/>
  <dc:creator>DGhelani</dc:creator>
  <cp:keywords/>
  <dc:description/>
  <cp:lastModifiedBy>DGhelani</cp:lastModifiedBy>
  <cp:revision>8</cp:revision>
  <cp:lastPrinted>2015-05-08T14:07:00Z</cp:lastPrinted>
  <dcterms:created xsi:type="dcterms:W3CDTF">2015-06-05T10:16:00Z</dcterms:created>
  <dcterms:modified xsi:type="dcterms:W3CDTF">2015-06-05T14:43:00Z</dcterms:modified>
</cp:coreProperties>
</file>